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D90F" w14:textId="77777777" w:rsidR="00806109" w:rsidRDefault="005A516E" w:rsidP="00806109">
      <w:pPr>
        <w:pStyle w:val="BodyText"/>
        <w:rPr>
          <w:b/>
          <w:bCs/>
          <w:sz w:val="30"/>
          <w:szCs w:val="30"/>
        </w:rPr>
      </w:pPr>
      <w:r>
        <w:rPr>
          <w:noProof/>
          <w:lang w:eastAsia="en-GB"/>
        </w:rPr>
        <w:drawing>
          <wp:anchor distT="0" distB="0" distL="114300" distR="114300" simplePos="0" relativeHeight="251659264" behindDoc="1" locked="0" layoutInCell="1" allowOverlap="1" wp14:anchorId="69DF699D" wp14:editId="3AE39948">
            <wp:simplePos x="0" y="0"/>
            <wp:positionH relativeFrom="column">
              <wp:posOffset>0</wp:posOffset>
            </wp:positionH>
            <wp:positionV relativeFrom="paragraph">
              <wp:posOffset>0</wp:posOffset>
            </wp:positionV>
            <wp:extent cx="7550025"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 HD/SC Work/3DX-RAY/3DX3727 Stationery/Elements/3DX-RAY Heade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0025"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FC0E1" w14:textId="77777777" w:rsidR="00806109" w:rsidRDefault="00806109" w:rsidP="00806109">
      <w:pPr>
        <w:pStyle w:val="BodyText"/>
        <w:rPr>
          <w:b/>
          <w:bCs/>
          <w:sz w:val="30"/>
          <w:szCs w:val="30"/>
        </w:rPr>
      </w:pPr>
    </w:p>
    <w:p w14:paraId="6B376CEC" w14:textId="77777777" w:rsidR="00806109" w:rsidRDefault="00806109" w:rsidP="005A516E">
      <w:pPr>
        <w:pStyle w:val="BodyText"/>
        <w:jc w:val="right"/>
        <w:rPr>
          <w:b/>
          <w:bCs/>
          <w:sz w:val="30"/>
          <w:szCs w:val="30"/>
        </w:rPr>
      </w:pPr>
    </w:p>
    <w:p w14:paraId="485A9D3C" w14:textId="77777777" w:rsidR="00806109" w:rsidRDefault="00806109" w:rsidP="00806109">
      <w:pPr>
        <w:pStyle w:val="BodyText"/>
        <w:rPr>
          <w:b/>
          <w:bCs/>
          <w:sz w:val="30"/>
          <w:szCs w:val="30"/>
        </w:rPr>
      </w:pPr>
    </w:p>
    <w:p w14:paraId="574ED83E" w14:textId="77777777" w:rsidR="00806109" w:rsidRDefault="00806109" w:rsidP="00806109">
      <w:pPr>
        <w:pStyle w:val="BodyText"/>
        <w:rPr>
          <w:b/>
          <w:bCs/>
          <w:sz w:val="30"/>
          <w:szCs w:val="30"/>
        </w:rPr>
      </w:pPr>
    </w:p>
    <w:p w14:paraId="06CAAD60" w14:textId="77777777" w:rsidR="00806109" w:rsidRDefault="00806109" w:rsidP="00806109">
      <w:pPr>
        <w:pStyle w:val="BodyText"/>
        <w:rPr>
          <w:b/>
          <w:bCs/>
          <w:sz w:val="30"/>
          <w:szCs w:val="30"/>
        </w:rPr>
      </w:pPr>
    </w:p>
    <w:p w14:paraId="2869F01A" w14:textId="77777777" w:rsidR="00806109" w:rsidRDefault="00806109" w:rsidP="00806109">
      <w:pPr>
        <w:pStyle w:val="BodyText"/>
        <w:rPr>
          <w:b/>
          <w:bCs/>
          <w:sz w:val="30"/>
          <w:szCs w:val="30"/>
        </w:rPr>
      </w:pPr>
    </w:p>
    <w:p w14:paraId="032CE014" w14:textId="77777777" w:rsidR="00806109" w:rsidRDefault="00806109" w:rsidP="00806109">
      <w:pPr>
        <w:pStyle w:val="BodyText"/>
        <w:rPr>
          <w:b/>
          <w:bCs/>
          <w:sz w:val="30"/>
          <w:szCs w:val="30"/>
        </w:rPr>
      </w:pPr>
    </w:p>
    <w:p w14:paraId="6B9D0F71" w14:textId="77777777" w:rsidR="00806109" w:rsidRDefault="00806109" w:rsidP="00806109">
      <w:pPr>
        <w:pStyle w:val="BodyText"/>
        <w:rPr>
          <w:b/>
          <w:bCs/>
          <w:sz w:val="30"/>
          <w:szCs w:val="30"/>
        </w:rPr>
      </w:pPr>
    </w:p>
    <w:p w14:paraId="03665A64" w14:textId="77777777" w:rsidR="00806109" w:rsidRDefault="00806109" w:rsidP="00806109">
      <w:pPr>
        <w:pStyle w:val="BodyText"/>
        <w:rPr>
          <w:b/>
          <w:bCs/>
          <w:sz w:val="30"/>
          <w:szCs w:val="30"/>
        </w:rPr>
      </w:pPr>
    </w:p>
    <w:p w14:paraId="08A66DF2" w14:textId="77777777" w:rsidR="00806109" w:rsidRDefault="00806109" w:rsidP="00806109">
      <w:pPr>
        <w:pStyle w:val="BodyText"/>
        <w:rPr>
          <w:b/>
          <w:bCs/>
          <w:sz w:val="30"/>
          <w:szCs w:val="30"/>
        </w:rPr>
      </w:pPr>
    </w:p>
    <w:p w14:paraId="73D4988E" w14:textId="77777777" w:rsidR="00806109" w:rsidRDefault="00806109" w:rsidP="00806109">
      <w:pPr>
        <w:pStyle w:val="BodyText"/>
        <w:rPr>
          <w:b/>
          <w:bCs/>
          <w:sz w:val="30"/>
          <w:szCs w:val="30"/>
        </w:rPr>
      </w:pPr>
    </w:p>
    <w:p w14:paraId="3DED6FE7" w14:textId="77777777" w:rsidR="00806109" w:rsidRDefault="00806109" w:rsidP="00806109">
      <w:pPr>
        <w:pStyle w:val="BodyText"/>
        <w:rPr>
          <w:b/>
          <w:bCs/>
          <w:sz w:val="30"/>
          <w:szCs w:val="30"/>
        </w:rPr>
      </w:pPr>
    </w:p>
    <w:p w14:paraId="58EAD58C" w14:textId="77777777" w:rsidR="00806109" w:rsidRDefault="00806109" w:rsidP="00806109">
      <w:pPr>
        <w:pStyle w:val="BodyText"/>
        <w:rPr>
          <w:b/>
          <w:bCs/>
          <w:sz w:val="30"/>
          <w:szCs w:val="30"/>
        </w:rPr>
      </w:pPr>
    </w:p>
    <w:p w14:paraId="440F3387" w14:textId="77777777" w:rsidR="00806109" w:rsidRDefault="00806109" w:rsidP="00806109">
      <w:pPr>
        <w:pStyle w:val="BodyText"/>
        <w:rPr>
          <w:b/>
          <w:bCs/>
          <w:sz w:val="30"/>
          <w:szCs w:val="30"/>
        </w:rPr>
      </w:pPr>
    </w:p>
    <w:p w14:paraId="16388974" w14:textId="77777777" w:rsidR="00806109" w:rsidRPr="00B80ED3" w:rsidRDefault="00806109" w:rsidP="00806109">
      <w:pPr>
        <w:pStyle w:val="BodyText"/>
        <w:jc w:val="right"/>
        <w:rPr>
          <w:b/>
          <w:sz w:val="72"/>
          <w:szCs w:val="72"/>
        </w:rPr>
      </w:pPr>
      <w:r w:rsidRPr="00B80ED3">
        <w:rPr>
          <w:b/>
          <w:sz w:val="72"/>
          <w:szCs w:val="72"/>
        </w:rPr>
        <w:t>Image Scan Holdings plc</w:t>
      </w:r>
    </w:p>
    <w:p w14:paraId="11FDDE97" w14:textId="77777777" w:rsidR="00806109" w:rsidRDefault="00806109" w:rsidP="00806109">
      <w:pPr>
        <w:pStyle w:val="BodyText"/>
        <w:jc w:val="center"/>
        <w:rPr>
          <w:b/>
          <w:sz w:val="48"/>
          <w:szCs w:val="48"/>
        </w:rPr>
      </w:pPr>
    </w:p>
    <w:p w14:paraId="53510A37" w14:textId="766985D3" w:rsidR="00806109" w:rsidRPr="00B80ED3" w:rsidRDefault="008F0CE5" w:rsidP="00806109">
      <w:pPr>
        <w:pStyle w:val="BodyText"/>
        <w:jc w:val="center"/>
        <w:rPr>
          <w:b/>
          <w:sz w:val="48"/>
          <w:szCs w:val="48"/>
        </w:rPr>
      </w:pPr>
      <w:r>
        <w:rPr>
          <w:b/>
          <w:sz w:val="48"/>
          <w:szCs w:val="48"/>
        </w:rPr>
        <w:t>Interim report 20</w:t>
      </w:r>
      <w:r w:rsidR="003A1383">
        <w:rPr>
          <w:b/>
          <w:sz w:val="48"/>
          <w:szCs w:val="48"/>
        </w:rPr>
        <w:t>20</w:t>
      </w:r>
    </w:p>
    <w:p w14:paraId="6701C522" w14:textId="77777777" w:rsidR="00806109" w:rsidRDefault="00806109">
      <w:pPr>
        <w:spacing w:after="160" w:line="259" w:lineRule="auto"/>
        <w:rPr>
          <w:rFonts w:ascii="Arial" w:hAnsi="Arial" w:cs="Arial"/>
          <w:b/>
          <w:bCs/>
          <w:sz w:val="30"/>
          <w:szCs w:val="30"/>
        </w:rPr>
      </w:pPr>
      <w:r>
        <w:rPr>
          <w:rFonts w:ascii="Arial" w:hAnsi="Arial" w:cs="Arial"/>
          <w:b/>
          <w:bCs/>
          <w:sz w:val="30"/>
          <w:szCs w:val="30"/>
        </w:rPr>
        <w:br w:type="page"/>
      </w:r>
    </w:p>
    <w:p w14:paraId="4595F23F" w14:textId="77777777" w:rsidR="00B60027" w:rsidRDefault="00B60027" w:rsidP="00B60027">
      <w:pPr>
        <w:rPr>
          <w:rFonts w:ascii="Arial" w:hAnsi="Arial" w:cs="Arial"/>
          <w:b/>
          <w:bCs/>
          <w:sz w:val="30"/>
          <w:szCs w:val="30"/>
        </w:rPr>
      </w:pPr>
      <w:r w:rsidRPr="00792C98">
        <w:rPr>
          <w:rFonts w:ascii="Arial" w:hAnsi="Arial" w:cs="Arial"/>
          <w:b/>
          <w:bCs/>
          <w:sz w:val="30"/>
          <w:szCs w:val="30"/>
        </w:rPr>
        <w:lastRenderedPageBreak/>
        <w:t>Chairman’s statement</w:t>
      </w:r>
    </w:p>
    <w:p w14:paraId="69B8BC01" w14:textId="77777777" w:rsidR="00C12848" w:rsidRPr="0059581E" w:rsidRDefault="00C12848" w:rsidP="00C12848">
      <w:pPr>
        <w:pStyle w:val="BodyText"/>
        <w:jc w:val="both"/>
        <w:rPr>
          <w:b/>
          <w:sz w:val="22"/>
          <w:szCs w:val="22"/>
        </w:rPr>
      </w:pPr>
      <w:r w:rsidRPr="0059581E">
        <w:rPr>
          <w:b/>
          <w:sz w:val="22"/>
          <w:szCs w:val="22"/>
        </w:rPr>
        <w:t>Introduction</w:t>
      </w:r>
    </w:p>
    <w:p w14:paraId="6F11599D" w14:textId="77777777" w:rsidR="00C12848" w:rsidRPr="0059581E" w:rsidRDefault="00C12848" w:rsidP="00C12848">
      <w:pPr>
        <w:pStyle w:val="BodyText"/>
        <w:jc w:val="both"/>
        <w:rPr>
          <w:sz w:val="22"/>
          <w:szCs w:val="22"/>
        </w:rPr>
      </w:pPr>
      <w:r w:rsidRPr="0059581E">
        <w:rPr>
          <w:sz w:val="22"/>
          <w:szCs w:val="22"/>
        </w:rPr>
        <w:t>Image Scan Holdings plc is a specialist in innovative X-ray technology, operating globally in the security and industrial inspection sectors. The Company’s principal activity is the design, manufacture, and supply of both portable and fixed X-ray security screening systems to governments, security organisations and law enforcement agencies. The Company also supplies high-quality image acquisition systems for non-destructive testing to commercial organisations worldwide.</w:t>
      </w:r>
    </w:p>
    <w:p w14:paraId="07A7C16B" w14:textId="77777777" w:rsidR="00C12848" w:rsidRPr="0059581E" w:rsidRDefault="00C12848" w:rsidP="00C12848">
      <w:pPr>
        <w:pStyle w:val="BodyText"/>
        <w:jc w:val="both"/>
        <w:rPr>
          <w:sz w:val="22"/>
          <w:szCs w:val="22"/>
        </w:rPr>
      </w:pPr>
    </w:p>
    <w:p w14:paraId="49B3D035" w14:textId="77777777" w:rsidR="00C12848" w:rsidRPr="0059581E" w:rsidRDefault="00C12848" w:rsidP="00C12848">
      <w:pPr>
        <w:pStyle w:val="BodyText"/>
        <w:jc w:val="both"/>
        <w:rPr>
          <w:b/>
          <w:sz w:val="22"/>
          <w:szCs w:val="22"/>
        </w:rPr>
      </w:pPr>
      <w:r w:rsidRPr="0059581E">
        <w:rPr>
          <w:b/>
          <w:sz w:val="22"/>
          <w:szCs w:val="22"/>
        </w:rPr>
        <w:t>Financial results</w:t>
      </w:r>
    </w:p>
    <w:p w14:paraId="12474CC9" w14:textId="77777777" w:rsidR="00C12848" w:rsidRPr="0059581E" w:rsidRDefault="00C12848" w:rsidP="00C12848">
      <w:pPr>
        <w:pStyle w:val="BodyText"/>
        <w:jc w:val="both"/>
        <w:rPr>
          <w:sz w:val="22"/>
          <w:szCs w:val="22"/>
        </w:rPr>
      </w:pPr>
      <w:r w:rsidRPr="0059581E">
        <w:rPr>
          <w:sz w:val="22"/>
          <w:szCs w:val="22"/>
        </w:rPr>
        <w:t xml:space="preserve">Revenues for the six months ended 31 March 2020 were up over 60% at £2.3m (2019: £1.4m) which included a doubling of portable X-ray unit sales numbers compared to the same period in 2019, while the gross margin on sales held steady at 45% (2019: 47%). </w:t>
      </w:r>
    </w:p>
    <w:p w14:paraId="54597217" w14:textId="77777777" w:rsidR="00C12848" w:rsidRPr="0059581E" w:rsidRDefault="00C12848" w:rsidP="00C12848">
      <w:pPr>
        <w:pStyle w:val="BodyText"/>
        <w:jc w:val="both"/>
        <w:rPr>
          <w:sz w:val="22"/>
          <w:szCs w:val="22"/>
        </w:rPr>
      </w:pPr>
    </w:p>
    <w:p w14:paraId="067AC99B" w14:textId="77777777" w:rsidR="00C12848" w:rsidRPr="0059581E" w:rsidRDefault="00C12848" w:rsidP="00C12848">
      <w:pPr>
        <w:pStyle w:val="BodyText"/>
        <w:jc w:val="both"/>
        <w:rPr>
          <w:sz w:val="22"/>
          <w:szCs w:val="22"/>
        </w:rPr>
      </w:pPr>
      <w:r w:rsidRPr="0059581E">
        <w:rPr>
          <w:sz w:val="22"/>
          <w:szCs w:val="22"/>
        </w:rPr>
        <w:t>Overhead costs declined slightly to £840k (2019: £854k) although investment in marketing was increased as the company looked to expand its global footprint. The business made a profit of £180k, turning around the loss in the same period last year (2019: loss of £178k).</w:t>
      </w:r>
    </w:p>
    <w:p w14:paraId="2F94EC58" w14:textId="77777777" w:rsidR="00C12848" w:rsidRPr="0059581E" w:rsidRDefault="00C12848" w:rsidP="00C12848">
      <w:pPr>
        <w:pStyle w:val="BodyText"/>
        <w:jc w:val="both"/>
        <w:rPr>
          <w:sz w:val="22"/>
          <w:szCs w:val="22"/>
        </w:rPr>
      </w:pPr>
    </w:p>
    <w:p w14:paraId="7F3BA5CF" w14:textId="77777777" w:rsidR="00C12848" w:rsidRPr="0059581E" w:rsidRDefault="00C12848" w:rsidP="00C12848">
      <w:pPr>
        <w:pStyle w:val="BodyText"/>
        <w:jc w:val="both"/>
        <w:rPr>
          <w:sz w:val="22"/>
          <w:szCs w:val="22"/>
        </w:rPr>
      </w:pPr>
      <w:r w:rsidRPr="0059581E">
        <w:rPr>
          <w:sz w:val="22"/>
          <w:szCs w:val="22"/>
        </w:rPr>
        <w:t xml:space="preserve">Order intake, though smaller than the prior year was in line with the Board’s expectations at £1.5m (2019: £2.1m), leaving the </w:t>
      </w:r>
      <w:r>
        <w:rPr>
          <w:sz w:val="22"/>
          <w:szCs w:val="22"/>
        </w:rPr>
        <w:t>C</w:t>
      </w:r>
      <w:r w:rsidRPr="0059581E">
        <w:rPr>
          <w:sz w:val="22"/>
          <w:szCs w:val="22"/>
        </w:rPr>
        <w:t>ompany with a period end order book of £900k, most of which is scheduled for delivery in this financial year. Having reduced previously high levels of stock, period end cash increased to £1.1m (2019: £750k).</w:t>
      </w:r>
    </w:p>
    <w:p w14:paraId="2E54FF18" w14:textId="4C821BF8" w:rsidR="00C12848" w:rsidRDefault="00C12848" w:rsidP="00C12848">
      <w:pPr>
        <w:pStyle w:val="BodyText"/>
        <w:jc w:val="both"/>
        <w:rPr>
          <w:sz w:val="22"/>
          <w:szCs w:val="22"/>
        </w:rPr>
      </w:pPr>
    </w:p>
    <w:p w14:paraId="4237E9EF" w14:textId="77777777" w:rsidR="00C12848" w:rsidRPr="0059581E" w:rsidRDefault="00C12848" w:rsidP="00C12848">
      <w:pPr>
        <w:pStyle w:val="BodyText"/>
        <w:jc w:val="both"/>
        <w:rPr>
          <w:b/>
          <w:sz w:val="22"/>
          <w:szCs w:val="22"/>
        </w:rPr>
      </w:pPr>
      <w:r w:rsidRPr="0059581E">
        <w:rPr>
          <w:b/>
          <w:sz w:val="22"/>
          <w:szCs w:val="22"/>
        </w:rPr>
        <w:t>Overview</w:t>
      </w:r>
    </w:p>
    <w:p w14:paraId="76164505" w14:textId="77777777" w:rsidR="00C12848" w:rsidRPr="0059581E" w:rsidRDefault="00C12848" w:rsidP="00C12848">
      <w:pPr>
        <w:pStyle w:val="BodyText"/>
        <w:jc w:val="both"/>
        <w:rPr>
          <w:b/>
          <w:sz w:val="22"/>
          <w:szCs w:val="22"/>
        </w:rPr>
      </w:pPr>
    </w:p>
    <w:p w14:paraId="4F62D0CB" w14:textId="77777777" w:rsidR="00C12848" w:rsidRPr="0059581E" w:rsidRDefault="00C12848" w:rsidP="00C12848">
      <w:pPr>
        <w:pStyle w:val="BodyText"/>
        <w:spacing w:after="100" w:afterAutospacing="1"/>
        <w:jc w:val="both"/>
        <w:rPr>
          <w:bCs/>
          <w:sz w:val="22"/>
          <w:szCs w:val="22"/>
        </w:rPr>
      </w:pPr>
      <w:r w:rsidRPr="0059581E">
        <w:rPr>
          <w:bCs/>
          <w:sz w:val="22"/>
          <w:szCs w:val="22"/>
        </w:rPr>
        <w:t>The strong portable X-ray order intake seen in the final quarter of FY19 continued into the first quarter of FY 20 with orders from all our main target regions. The large portable X-ray order announced in September 2019 has now been delivered and overall portable sales were more than twice those seen in the same period last year. Three valuable orders for industrial screening systems were also received, of which one has been completed. Aftermarket revenues have increased and included valuable spares orders for a large nuclear screening system originally delivered in 2015.</w:t>
      </w:r>
    </w:p>
    <w:p w14:paraId="1CF0DEE1" w14:textId="77777777" w:rsidR="00C12848" w:rsidRPr="0059581E" w:rsidRDefault="00C12848" w:rsidP="00C12848">
      <w:pPr>
        <w:spacing w:before="40" w:after="100" w:afterAutospacing="1" w:line="240" w:lineRule="auto"/>
        <w:jc w:val="both"/>
        <w:rPr>
          <w:rFonts w:ascii="Arial" w:hAnsi="Arial" w:cs="Arial"/>
        </w:rPr>
      </w:pPr>
      <w:r w:rsidRPr="0059581E">
        <w:rPr>
          <w:rFonts w:ascii="Arial" w:hAnsi="Arial" w:cs="Arial"/>
        </w:rPr>
        <w:t xml:space="preserve">The product development strategy includes a renewed and extended “Axis” range of X-ray screening systems, combining in-house developments with external technology partnerships. The prototype of a new security X-ray system developed under this plan has produced its first images and will be launched in the second half of FY 2020. Additionally, a UK distribution agreement has been signed with Italian X-ray company, Gilardoni. Work has also started on a broader range of partnerships. </w:t>
      </w:r>
    </w:p>
    <w:p w14:paraId="5FA31D20" w14:textId="77777777" w:rsidR="00C12848" w:rsidRPr="0059581E" w:rsidRDefault="00C12848" w:rsidP="00C12848">
      <w:pPr>
        <w:spacing w:before="40" w:after="100" w:afterAutospacing="1" w:line="240" w:lineRule="auto"/>
        <w:jc w:val="both"/>
        <w:rPr>
          <w:rFonts w:ascii="Arial" w:hAnsi="Arial" w:cs="Arial"/>
        </w:rPr>
      </w:pPr>
      <w:r w:rsidRPr="0059581E">
        <w:rPr>
          <w:rFonts w:ascii="Arial" w:hAnsi="Arial" w:cs="Arial"/>
        </w:rPr>
        <w:t>The Company plans to increase its sales efforts in North America and has contracted a former US Marine, who is an experienced programme manager and senior Explosive Ordnance Disposal (EOD) technician. He is providing valuable support to our product development programmes, sharing his extensive user and technical knowledge. He has also started to conduct customer training programmes on the Company’s behalf and is building our social media profile among the bomb technician community.</w:t>
      </w:r>
    </w:p>
    <w:p w14:paraId="0FA14818" w14:textId="317BFBC4" w:rsidR="00C12848" w:rsidRDefault="00C12848" w:rsidP="00C12848">
      <w:pPr>
        <w:spacing w:line="20" w:lineRule="atLeast"/>
        <w:jc w:val="both"/>
        <w:rPr>
          <w:rFonts w:ascii="Arial" w:hAnsi="Arial" w:cs="Arial"/>
        </w:rPr>
      </w:pPr>
    </w:p>
    <w:p w14:paraId="7C7650A9" w14:textId="62016804" w:rsidR="00C12848" w:rsidRDefault="00C12848" w:rsidP="00C12848">
      <w:pPr>
        <w:spacing w:line="20" w:lineRule="atLeast"/>
        <w:jc w:val="both"/>
        <w:rPr>
          <w:rFonts w:ascii="Arial" w:hAnsi="Arial" w:cs="Arial"/>
        </w:rPr>
      </w:pPr>
    </w:p>
    <w:p w14:paraId="6B004EC5" w14:textId="77777777" w:rsidR="00C12848" w:rsidRPr="0059581E" w:rsidRDefault="00C12848" w:rsidP="00C12848">
      <w:pPr>
        <w:spacing w:line="20" w:lineRule="atLeast"/>
        <w:jc w:val="both"/>
        <w:rPr>
          <w:rFonts w:ascii="Arial" w:hAnsi="Arial" w:cs="Arial"/>
        </w:rPr>
      </w:pPr>
    </w:p>
    <w:p w14:paraId="395770AC" w14:textId="77777777" w:rsidR="00C12848" w:rsidRPr="0059581E" w:rsidRDefault="00C12848" w:rsidP="00C12848">
      <w:pPr>
        <w:spacing w:line="20" w:lineRule="atLeast"/>
        <w:jc w:val="both"/>
        <w:rPr>
          <w:rFonts w:ascii="Arial" w:hAnsi="Arial" w:cs="Arial"/>
          <w:b/>
          <w:bCs/>
        </w:rPr>
      </w:pPr>
      <w:r w:rsidRPr="0059581E">
        <w:rPr>
          <w:rFonts w:ascii="Arial" w:hAnsi="Arial" w:cs="Arial"/>
          <w:b/>
          <w:bCs/>
        </w:rPr>
        <w:lastRenderedPageBreak/>
        <w:t>Outlook – COVID-19 and beyond</w:t>
      </w:r>
    </w:p>
    <w:p w14:paraId="6A8A59E9" w14:textId="77777777" w:rsidR="00C12848" w:rsidRPr="0059581E" w:rsidRDefault="00C12848" w:rsidP="00C12848">
      <w:pPr>
        <w:spacing w:line="20" w:lineRule="atLeast"/>
        <w:jc w:val="both"/>
        <w:rPr>
          <w:rFonts w:ascii="Arial" w:hAnsi="Arial" w:cs="Arial"/>
        </w:rPr>
      </w:pPr>
      <w:r w:rsidRPr="0059581E">
        <w:rPr>
          <w:rFonts w:ascii="Arial" w:hAnsi="Arial" w:cs="Arial"/>
        </w:rPr>
        <w:t xml:space="preserve">Having taken steps to ensure a COVID-19 safe working environment, our production facility remains open, and we are building both industrial and security X-ray machines for customers. Provided Government movement guidance remains as now, and our staff remain healthy, we expect to be able to deliver most of the £900k orderbook in this financial year. </w:t>
      </w:r>
    </w:p>
    <w:p w14:paraId="58A84145" w14:textId="77777777" w:rsidR="00C12848" w:rsidRPr="0059581E" w:rsidRDefault="00C12848" w:rsidP="00C12848">
      <w:pPr>
        <w:spacing w:line="20" w:lineRule="atLeast"/>
        <w:jc w:val="both"/>
        <w:rPr>
          <w:rFonts w:ascii="Arial" w:hAnsi="Arial" w:cs="Arial"/>
        </w:rPr>
      </w:pPr>
      <w:r w:rsidRPr="0059581E">
        <w:rPr>
          <w:rFonts w:ascii="Arial" w:hAnsi="Arial" w:cs="Arial"/>
        </w:rPr>
        <w:t xml:space="preserve">Development staff are mostly working from home but use the engineering and test facilities at the site as required, and the product development programme continues to make good progress. In response to a decrease in activity we have selectively taken advantage of the UK Government’s Coronavirus Job Retention Scheme and currently have some staff on furlough. </w:t>
      </w:r>
    </w:p>
    <w:p w14:paraId="49DCD70C" w14:textId="77777777" w:rsidR="00C12848" w:rsidRPr="0059581E" w:rsidRDefault="00C12848" w:rsidP="00C12848">
      <w:pPr>
        <w:spacing w:line="20" w:lineRule="atLeast"/>
        <w:jc w:val="both"/>
        <w:rPr>
          <w:rFonts w:ascii="Arial" w:hAnsi="Arial" w:cs="Arial"/>
        </w:rPr>
      </w:pPr>
      <w:r w:rsidRPr="0059581E">
        <w:rPr>
          <w:rFonts w:ascii="Arial" w:hAnsi="Arial" w:cs="Arial"/>
        </w:rPr>
        <w:t xml:space="preserve">With our Government customers focussed on their COVID-19 response, security orders have declined, and we expect this to continue until normality is restored. However, some portable X-ray orders are still being received and we should be able to deliver those systems as normal. At the start of the pandemic we experienced some supply chain issues in China, but we believe these to have largely been resolved. Our major industrial customers, for whom we are a critical supplier, are being very supportive in ensuring prompt payments against equipment and support contracts. </w:t>
      </w:r>
    </w:p>
    <w:p w14:paraId="3832BF2D" w14:textId="77777777" w:rsidR="00C12848" w:rsidRPr="0059581E" w:rsidRDefault="00C12848" w:rsidP="00C12848">
      <w:pPr>
        <w:spacing w:line="20" w:lineRule="atLeast"/>
        <w:jc w:val="both"/>
        <w:rPr>
          <w:rFonts w:ascii="Arial" w:hAnsi="Arial" w:cs="Arial"/>
        </w:rPr>
      </w:pPr>
      <w:r w:rsidRPr="0059581E">
        <w:rPr>
          <w:rFonts w:ascii="Arial" w:hAnsi="Arial" w:cs="Arial"/>
        </w:rPr>
        <w:t xml:space="preserve">We can’t predict when the effects of the pandemic on the business will diminish, but we are managing cash carefully while continuing to invest in expanding our product range, aiming to position the business for a strong return as the crisis wanes. </w:t>
      </w:r>
    </w:p>
    <w:p w14:paraId="5E17641F" w14:textId="05DADC4C" w:rsidR="00C12848" w:rsidRPr="0059581E" w:rsidRDefault="00C12848" w:rsidP="00C12848">
      <w:pPr>
        <w:spacing w:after="160" w:line="259" w:lineRule="auto"/>
        <w:rPr>
          <w:rFonts w:ascii="Arial" w:hAnsi="Arial" w:cs="Arial"/>
        </w:rPr>
      </w:pPr>
      <w:r w:rsidRPr="0059581E">
        <w:rPr>
          <w:rFonts w:ascii="Arial" w:hAnsi="Arial" w:cs="Arial"/>
        </w:rPr>
        <w:t xml:space="preserve">Our staff at Image Scan continue to be enthusiastic, dedicated and creative and on behalf of my fellow Board members, I would like to formally thank all our personnel for their outstanding response to the current challenging circumstances. </w:t>
      </w:r>
    </w:p>
    <w:p w14:paraId="4268D772" w14:textId="77777777" w:rsidR="00C12848" w:rsidRPr="0059581E" w:rsidRDefault="00C12848" w:rsidP="00C12848">
      <w:pPr>
        <w:pStyle w:val="BodyText"/>
        <w:jc w:val="both"/>
        <w:rPr>
          <w:sz w:val="22"/>
          <w:szCs w:val="22"/>
        </w:rPr>
      </w:pPr>
    </w:p>
    <w:p w14:paraId="4B1E169E" w14:textId="77777777" w:rsidR="00C12848" w:rsidRPr="0059581E" w:rsidRDefault="00C12848" w:rsidP="00C12848">
      <w:pPr>
        <w:pStyle w:val="BodyText"/>
        <w:jc w:val="both"/>
        <w:rPr>
          <w:sz w:val="22"/>
          <w:szCs w:val="22"/>
        </w:rPr>
      </w:pPr>
    </w:p>
    <w:p w14:paraId="5C567BF2" w14:textId="77777777" w:rsidR="00C12848" w:rsidRPr="0059581E" w:rsidRDefault="00C12848" w:rsidP="00C12848">
      <w:pPr>
        <w:spacing w:after="0"/>
        <w:jc w:val="both"/>
        <w:rPr>
          <w:rFonts w:ascii="Arial" w:hAnsi="Arial" w:cs="Arial"/>
          <w:b/>
          <w:bCs/>
          <w:color w:val="000000"/>
        </w:rPr>
      </w:pPr>
      <w:r w:rsidRPr="0059581E">
        <w:rPr>
          <w:rFonts w:ascii="Arial" w:hAnsi="Arial" w:cs="Arial"/>
          <w:b/>
          <w:bCs/>
          <w:color w:val="000000"/>
        </w:rPr>
        <w:t>Bill Mawer</w:t>
      </w:r>
    </w:p>
    <w:p w14:paraId="7CDDD6DD" w14:textId="77777777" w:rsidR="00C12848" w:rsidRPr="0059581E" w:rsidRDefault="00C12848" w:rsidP="00C12848">
      <w:pPr>
        <w:spacing w:after="0"/>
        <w:jc w:val="both"/>
        <w:rPr>
          <w:rFonts w:ascii="Arial" w:hAnsi="Arial" w:cs="Arial"/>
          <w:b/>
          <w:bCs/>
          <w:i/>
          <w:iCs/>
          <w:color w:val="000000"/>
        </w:rPr>
      </w:pPr>
      <w:r w:rsidRPr="0059581E">
        <w:rPr>
          <w:rFonts w:ascii="Arial" w:hAnsi="Arial" w:cs="Arial"/>
          <w:b/>
          <w:bCs/>
          <w:i/>
          <w:iCs/>
          <w:color w:val="000000"/>
        </w:rPr>
        <w:t>Chairman and Chief Executive Officer</w:t>
      </w:r>
    </w:p>
    <w:p w14:paraId="6588E853" w14:textId="77777777" w:rsidR="00C12848" w:rsidRPr="0059581E" w:rsidRDefault="00C12848" w:rsidP="00C12848">
      <w:pPr>
        <w:spacing w:after="0"/>
        <w:jc w:val="both"/>
        <w:rPr>
          <w:rFonts w:ascii="Arial" w:hAnsi="Arial" w:cs="Arial"/>
          <w:color w:val="000000"/>
        </w:rPr>
      </w:pPr>
      <w:r w:rsidRPr="0059581E">
        <w:rPr>
          <w:rFonts w:ascii="Arial" w:hAnsi="Arial" w:cs="Arial"/>
          <w:color w:val="000000"/>
        </w:rPr>
        <w:t>29/04/2020</w:t>
      </w:r>
    </w:p>
    <w:p w14:paraId="247B3B52" w14:textId="77777777" w:rsidR="00F16B5F" w:rsidRPr="002F44AF" w:rsidRDefault="00F16B5F" w:rsidP="00F16B5F">
      <w:pPr>
        <w:spacing w:line="253" w:lineRule="atLeast"/>
        <w:rPr>
          <w:rFonts w:ascii="Calibri" w:eastAsia="Times New Roman" w:hAnsi="Calibri" w:cs="Calibri"/>
          <w:b/>
          <w:bCs/>
          <w:color w:val="000000"/>
          <w:lang w:eastAsia="en-GB"/>
        </w:rPr>
      </w:pPr>
      <w:r w:rsidRPr="002F44AF">
        <w:rPr>
          <w:rFonts w:ascii="Arial" w:eastAsia="Times New Roman" w:hAnsi="Arial" w:cs="Arial"/>
          <w:b/>
          <w:bCs/>
          <w:color w:val="000000"/>
          <w:sz w:val="20"/>
          <w:szCs w:val="20"/>
          <w:lang w:eastAsia="en-GB"/>
        </w:rPr>
        <w:t>Chairman's statement</w:t>
      </w:r>
    </w:p>
    <w:p w14:paraId="269F89DD" w14:textId="77777777" w:rsidR="00F16B5F" w:rsidRPr="002F44AF" w:rsidRDefault="00F16B5F" w:rsidP="00F16B5F">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759E6766" w14:textId="77777777" w:rsidR="009413A0" w:rsidRDefault="009413A0">
      <w:pPr>
        <w:spacing w:after="160" w:line="259"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br w:type="page"/>
      </w:r>
    </w:p>
    <w:p w14:paraId="51FDC44E" w14:textId="3C17BC45" w:rsidR="002C5B2A" w:rsidRPr="002C5B2A" w:rsidRDefault="002C5B2A" w:rsidP="002C5B2A">
      <w:pPr>
        <w:spacing w:after="0" w:line="360" w:lineRule="atLeast"/>
        <w:rPr>
          <w:rFonts w:ascii="Arial" w:eastAsia="Times New Roman" w:hAnsi="Arial" w:cs="Arial"/>
          <w:b/>
          <w:bCs/>
          <w:color w:val="000000"/>
          <w:sz w:val="32"/>
          <w:szCs w:val="32"/>
          <w:lang w:eastAsia="en-GB"/>
        </w:rPr>
      </w:pPr>
      <w:r w:rsidRPr="002C5B2A">
        <w:rPr>
          <w:rFonts w:ascii="Arial" w:eastAsia="Times New Roman" w:hAnsi="Arial" w:cs="Arial"/>
          <w:b/>
          <w:bCs/>
          <w:color w:val="000000"/>
          <w:sz w:val="20"/>
          <w:szCs w:val="20"/>
          <w:lang w:eastAsia="en-GB"/>
        </w:rPr>
        <w:lastRenderedPageBreak/>
        <w:t>Consolidated income statement</w:t>
      </w:r>
    </w:p>
    <w:p w14:paraId="0F60B869" w14:textId="3BEE9718" w:rsidR="002C5B2A" w:rsidRPr="002C5B2A" w:rsidRDefault="002C5B2A" w:rsidP="002C5B2A">
      <w:pPr>
        <w:spacing w:after="0" w:line="240" w:lineRule="atLeast"/>
        <w:rPr>
          <w:rFonts w:ascii="Arial" w:eastAsia="Times New Roman" w:hAnsi="Arial" w:cs="Arial"/>
          <w:b/>
          <w:bCs/>
          <w:color w:val="000000"/>
          <w:sz w:val="32"/>
          <w:szCs w:val="32"/>
          <w:lang w:eastAsia="en-GB"/>
        </w:rPr>
      </w:pPr>
      <w:r w:rsidRPr="002C5B2A">
        <w:rPr>
          <w:rFonts w:ascii="Arial" w:eastAsia="Times New Roman" w:hAnsi="Arial" w:cs="Arial"/>
          <w:b/>
          <w:bCs/>
          <w:color w:val="000000"/>
          <w:sz w:val="20"/>
          <w:szCs w:val="20"/>
          <w:lang w:eastAsia="en-GB"/>
        </w:rPr>
        <w:t>For the six months ended 31 March 20</w:t>
      </w:r>
      <w:r w:rsidR="009413A0">
        <w:rPr>
          <w:rFonts w:ascii="Arial" w:eastAsia="Times New Roman" w:hAnsi="Arial" w:cs="Arial"/>
          <w:b/>
          <w:bCs/>
          <w:color w:val="000000"/>
          <w:sz w:val="20"/>
          <w:szCs w:val="20"/>
          <w:lang w:eastAsia="en-GB"/>
        </w:rPr>
        <w:t>20</w:t>
      </w:r>
    </w:p>
    <w:p w14:paraId="0C8F3FFB"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196" w:type="dxa"/>
        <w:tblInd w:w="8" w:type="dxa"/>
        <w:tblCellMar>
          <w:left w:w="0" w:type="dxa"/>
          <w:right w:w="0" w:type="dxa"/>
        </w:tblCellMar>
        <w:tblLook w:val="04A0" w:firstRow="1" w:lastRow="0" w:firstColumn="1" w:lastColumn="0" w:noHBand="0" w:noVBand="1"/>
      </w:tblPr>
      <w:tblGrid>
        <w:gridCol w:w="5085"/>
        <w:gridCol w:w="628"/>
        <w:gridCol w:w="1214"/>
        <w:gridCol w:w="1135"/>
        <w:gridCol w:w="1134"/>
      </w:tblGrid>
      <w:tr w:rsidR="002C5B2A" w:rsidRPr="002F44AF" w14:paraId="60CF2E12" w14:textId="77777777" w:rsidTr="003A1383">
        <w:trPr>
          <w:trHeight w:val="60"/>
        </w:trPr>
        <w:tc>
          <w:tcPr>
            <w:tcW w:w="5085" w:type="dxa"/>
            <w:tcBorders>
              <w:top w:val="dotted" w:sz="8" w:space="0" w:color="auto"/>
              <w:left w:val="dotted" w:sz="8" w:space="0" w:color="auto"/>
              <w:bottom w:val="dotted" w:sz="8" w:space="0" w:color="auto"/>
              <w:right w:val="dotted" w:sz="8" w:space="0" w:color="auto"/>
            </w:tcBorders>
            <w:vAlign w:val="bottom"/>
            <w:hideMark/>
          </w:tcPr>
          <w:p w14:paraId="6E963D9F"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628" w:type="dxa"/>
            <w:tcBorders>
              <w:top w:val="dotted" w:sz="8" w:space="0" w:color="auto"/>
              <w:left w:val="nil"/>
              <w:bottom w:val="dotted" w:sz="8" w:space="0" w:color="auto"/>
              <w:right w:val="dotted" w:sz="8" w:space="0" w:color="auto"/>
            </w:tcBorders>
            <w:vAlign w:val="bottom"/>
            <w:hideMark/>
          </w:tcPr>
          <w:p w14:paraId="14C6FADE"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Note</w:t>
            </w:r>
          </w:p>
        </w:tc>
        <w:tc>
          <w:tcPr>
            <w:tcW w:w="1214" w:type="dxa"/>
            <w:tcBorders>
              <w:top w:val="dotted" w:sz="8" w:space="0" w:color="auto"/>
              <w:left w:val="nil"/>
              <w:bottom w:val="dotted" w:sz="8" w:space="0" w:color="auto"/>
              <w:right w:val="dotted" w:sz="8" w:space="0" w:color="auto"/>
            </w:tcBorders>
            <w:hideMark/>
          </w:tcPr>
          <w:p w14:paraId="3092E51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0E6BD0BE"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5933C8A3" w14:textId="728569BE"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w:t>
            </w:r>
            <w:r w:rsidR="009413A0">
              <w:rPr>
                <w:rFonts w:ascii="Arial" w:eastAsia="Times New Roman" w:hAnsi="Arial" w:cs="Arial"/>
                <w:b/>
                <w:bCs/>
                <w:color w:val="000000"/>
                <w:sz w:val="20"/>
                <w:szCs w:val="20"/>
                <w:lang w:eastAsia="en-GB"/>
              </w:rPr>
              <w:t>20</w:t>
            </w:r>
          </w:p>
          <w:p w14:paraId="32A4F739"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7DAD0FA8"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135" w:type="dxa"/>
            <w:tcBorders>
              <w:top w:val="dotted" w:sz="8" w:space="0" w:color="auto"/>
              <w:left w:val="nil"/>
              <w:bottom w:val="dotted" w:sz="8" w:space="0" w:color="auto"/>
              <w:right w:val="dotted" w:sz="8" w:space="0" w:color="auto"/>
            </w:tcBorders>
            <w:vAlign w:val="bottom"/>
            <w:hideMark/>
          </w:tcPr>
          <w:p w14:paraId="733EAAF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4630FD2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606B8E2A" w14:textId="11069CEE"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w:t>
            </w:r>
            <w:r w:rsidR="009413A0">
              <w:rPr>
                <w:rFonts w:ascii="Arial" w:eastAsia="Times New Roman" w:hAnsi="Arial" w:cs="Arial"/>
                <w:b/>
                <w:bCs/>
                <w:color w:val="000000"/>
                <w:sz w:val="20"/>
                <w:szCs w:val="20"/>
                <w:lang w:eastAsia="en-GB"/>
              </w:rPr>
              <w:t>9</w:t>
            </w:r>
          </w:p>
          <w:p w14:paraId="1939BD6C"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57249BBE"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134" w:type="dxa"/>
            <w:tcBorders>
              <w:top w:val="dotted" w:sz="8" w:space="0" w:color="auto"/>
              <w:left w:val="nil"/>
              <w:bottom w:val="dotted" w:sz="8" w:space="0" w:color="auto"/>
              <w:right w:val="dotted" w:sz="8" w:space="0" w:color="auto"/>
            </w:tcBorders>
            <w:vAlign w:val="bottom"/>
            <w:hideMark/>
          </w:tcPr>
          <w:p w14:paraId="3277BB1D"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Year ended</w:t>
            </w:r>
          </w:p>
          <w:p w14:paraId="3652216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30 September</w:t>
            </w:r>
          </w:p>
          <w:p w14:paraId="07D7318D" w14:textId="6191C68B"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 201</w:t>
            </w:r>
            <w:r w:rsidR="009413A0">
              <w:rPr>
                <w:rFonts w:ascii="Arial" w:eastAsia="Times New Roman" w:hAnsi="Arial" w:cs="Arial"/>
                <w:color w:val="000000"/>
                <w:sz w:val="20"/>
                <w:szCs w:val="20"/>
                <w:lang w:eastAsia="en-GB"/>
              </w:rPr>
              <w:t>9</w:t>
            </w:r>
          </w:p>
          <w:p w14:paraId="6594A13F"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(Audited)</w:t>
            </w:r>
          </w:p>
          <w:p w14:paraId="11FAE27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£'000</w:t>
            </w:r>
          </w:p>
        </w:tc>
      </w:tr>
      <w:tr w:rsidR="009413A0" w:rsidRPr="002F44AF" w14:paraId="0B011B37"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07275AE2" w14:textId="77777777" w:rsidR="009413A0" w:rsidRPr="002F44AF" w:rsidRDefault="009413A0" w:rsidP="009413A0">
            <w:pPr>
              <w:spacing w:after="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Revenue</w:t>
            </w:r>
          </w:p>
        </w:tc>
        <w:tc>
          <w:tcPr>
            <w:tcW w:w="628" w:type="dxa"/>
            <w:tcBorders>
              <w:top w:val="nil"/>
              <w:left w:val="nil"/>
              <w:bottom w:val="dotted" w:sz="8" w:space="0" w:color="auto"/>
              <w:right w:val="dotted" w:sz="8" w:space="0" w:color="auto"/>
            </w:tcBorders>
            <w:vAlign w:val="bottom"/>
            <w:hideMark/>
          </w:tcPr>
          <w:p w14:paraId="0BD64AA0"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36F98A48" w14:textId="2E40D627" w:rsidR="009413A0" w:rsidRPr="00FA11EC" w:rsidRDefault="0064539D"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2,287</w:t>
            </w:r>
          </w:p>
        </w:tc>
        <w:tc>
          <w:tcPr>
            <w:tcW w:w="1135" w:type="dxa"/>
            <w:tcBorders>
              <w:top w:val="nil"/>
              <w:left w:val="nil"/>
              <w:bottom w:val="dotted" w:sz="8" w:space="0" w:color="auto"/>
              <w:right w:val="dotted" w:sz="8" w:space="0" w:color="auto"/>
            </w:tcBorders>
          </w:tcPr>
          <w:p w14:paraId="1E3AC1CD" w14:textId="21A10F8F" w:rsidR="009413A0" w:rsidRPr="00FA11EC" w:rsidRDefault="009413A0"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1,423</w:t>
            </w:r>
          </w:p>
        </w:tc>
        <w:tc>
          <w:tcPr>
            <w:tcW w:w="1134" w:type="dxa"/>
            <w:tcBorders>
              <w:top w:val="nil"/>
              <w:left w:val="nil"/>
              <w:bottom w:val="dotted" w:sz="8" w:space="0" w:color="auto"/>
              <w:right w:val="dotted" w:sz="8" w:space="0" w:color="auto"/>
            </w:tcBorders>
            <w:vAlign w:val="bottom"/>
          </w:tcPr>
          <w:p w14:paraId="4F29A08D" w14:textId="0B121C53" w:rsidR="009413A0" w:rsidRPr="00FA11EC" w:rsidRDefault="0064539D"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2,365</w:t>
            </w:r>
          </w:p>
        </w:tc>
      </w:tr>
      <w:tr w:rsidR="009413A0" w:rsidRPr="002F44AF" w14:paraId="6A680CFC"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447DC63A"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Cost of sales</w:t>
            </w:r>
          </w:p>
        </w:tc>
        <w:tc>
          <w:tcPr>
            <w:tcW w:w="628" w:type="dxa"/>
            <w:tcBorders>
              <w:top w:val="nil"/>
              <w:left w:val="nil"/>
              <w:bottom w:val="dotted" w:sz="8" w:space="0" w:color="auto"/>
              <w:right w:val="dotted" w:sz="8" w:space="0" w:color="auto"/>
            </w:tcBorders>
            <w:vAlign w:val="bottom"/>
            <w:hideMark/>
          </w:tcPr>
          <w:p w14:paraId="282A7038"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7F1FE351" w14:textId="3A0F6421" w:rsidR="009413A0" w:rsidRPr="00FA11EC" w:rsidRDefault="00FA11EC"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(1,268)</w:t>
            </w:r>
          </w:p>
        </w:tc>
        <w:tc>
          <w:tcPr>
            <w:tcW w:w="1135" w:type="dxa"/>
            <w:tcBorders>
              <w:top w:val="nil"/>
              <w:left w:val="nil"/>
              <w:bottom w:val="dotted" w:sz="8" w:space="0" w:color="auto"/>
              <w:right w:val="dotted" w:sz="8" w:space="0" w:color="auto"/>
            </w:tcBorders>
          </w:tcPr>
          <w:p w14:paraId="05608581" w14:textId="3ADEA882" w:rsidR="009413A0" w:rsidRPr="00FA11EC" w:rsidRDefault="009413A0"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(747)</w:t>
            </w:r>
          </w:p>
        </w:tc>
        <w:tc>
          <w:tcPr>
            <w:tcW w:w="1134" w:type="dxa"/>
            <w:tcBorders>
              <w:top w:val="nil"/>
              <w:left w:val="nil"/>
              <w:bottom w:val="dotted" w:sz="8" w:space="0" w:color="auto"/>
              <w:right w:val="dotted" w:sz="8" w:space="0" w:color="auto"/>
            </w:tcBorders>
            <w:vAlign w:val="bottom"/>
          </w:tcPr>
          <w:p w14:paraId="62EE48B4" w14:textId="19A2D7DB" w:rsidR="009413A0" w:rsidRPr="00FA11EC" w:rsidRDefault="0064539D"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(1,087)</w:t>
            </w:r>
          </w:p>
        </w:tc>
      </w:tr>
      <w:tr w:rsidR="009413A0" w:rsidRPr="002F44AF" w14:paraId="07F7659E"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34C71975"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Gross profit</w:t>
            </w:r>
          </w:p>
        </w:tc>
        <w:tc>
          <w:tcPr>
            <w:tcW w:w="628" w:type="dxa"/>
            <w:tcBorders>
              <w:top w:val="nil"/>
              <w:left w:val="nil"/>
              <w:bottom w:val="dotted" w:sz="8" w:space="0" w:color="auto"/>
              <w:right w:val="dotted" w:sz="8" w:space="0" w:color="auto"/>
            </w:tcBorders>
            <w:vAlign w:val="bottom"/>
            <w:hideMark/>
          </w:tcPr>
          <w:p w14:paraId="55286549"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09C27BD0" w14:textId="241DC809" w:rsidR="009413A0" w:rsidRPr="00FA11EC" w:rsidRDefault="00FA11EC"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1,019</w:t>
            </w:r>
          </w:p>
        </w:tc>
        <w:tc>
          <w:tcPr>
            <w:tcW w:w="1135" w:type="dxa"/>
            <w:tcBorders>
              <w:top w:val="nil"/>
              <w:left w:val="nil"/>
              <w:bottom w:val="dotted" w:sz="8" w:space="0" w:color="auto"/>
              <w:right w:val="dotted" w:sz="8" w:space="0" w:color="auto"/>
            </w:tcBorders>
          </w:tcPr>
          <w:p w14:paraId="05148952" w14:textId="0AF3489D" w:rsidR="009413A0" w:rsidRPr="00FA11EC" w:rsidRDefault="009413A0"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676</w:t>
            </w:r>
          </w:p>
        </w:tc>
        <w:tc>
          <w:tcPr>
            <w:tcW w:w="1134" w:type="dxa"/>
            <w:tcBorders>
              <w:top w:val="nil"/>
              <w:left w:val="nil"/>
              <w:bottom w:val="dotted" w:sz="8" w:space="0" w:color="auto"/>
              <w:right w:val="dotted" w:sz="8" w:space="0" w:color="auto"/>
            </w:tcBorders>
            <w:vAlign w:val="bottom"/>
          </w:tcPr>
          <w:p w14:paraId="7FE4CF73" w14:textId="033DF928" w:rsidR="009413A0" w:rsidRPr="00FA11EC" w:rsidRDefault="0064539D"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1,278</w:t>
            </w:r>
          </w:p>
        </w:tc>
      </w:tr>
      <w:tr w:rsidR="009413A0" w:rsidRPr="002F44AF" w14:paraId="66D202C2"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5C7DCDEA"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Operating expenses</w:t>
            </w:r>
          </w:p>
        </w:tc>
        <w:tc>
          <w:tcPr>
            <w:tcW w:w="628" w:type="dxa"/>
            <w:tcBorders>
              <w:top w:val="nil"/>
              <w:left w:val="nil"/>
              <w:bottom w:val="dotted" w:sz="8" w:space="0" w:color="auto"/>
              <w:right w:val="dotted" w:sz="8" w:space="0" w:color="auto"/>
            </w:tcBorders>
            <w:vAlign w:val="bottom"/>
            <w:hideMark/>
          </w:tcPr>
          <w:p w14:paraId="61517D65"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0E448168" w14:textId="3DBB4B04" w:rsidR="009413A0" w:rsidRPr="00FA11EC" w:rsidRDefault="00FA11EC"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(840)</w:t>
            </w:r>
          </w:p>
        </w:tc>
        <w:tc>
          <w:tcPr>
            <w:tcW w:w="1135" w:type="dxa"/>
            <w:tcBorders>
              <w:top w:val="nil"/>
              <w:left w:val="nil"/>
              <w:bottom w:val="dotted" w:sz="8" w:space="0" w:color="auto"/>
              <w:right w:val="dotted" w:sz="8" w:space="0" w:color="auto"/>
            </w:tcBorders>
          </w:tcPr>
          <w:p w14:paraId="752533F7" w14:textId="46364012" w:rsidR="009413A0" w:rsidRPr="00FA11EC" w:rsidRDefault="009413A0"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(854)</w:t>
            </w:r>
          </w:p>
        </w:tc>
        <w:tc>
          <w:tcPr>
            <w:tcW w:w="1134" w:type="dxa"/>
            <w:tcBorders>
              <w:top w:val="nil"/>
              <w:left w:val="nil"/>
              <w:bottom w:val="dotted" w:sz="8" w:space="0" w:color="auto"/>
              <w:right w:val="dotted" w:sz="8" w:space="0" w:color="auto"/>
            </w:tcBorders>
            <w:vAlign w:val="bottom"/>
          </w:tcPr>
          <w:p w14:paraId="2F478BFC" w14:textId="0A2D911E" w:rsidR="009413A0" w:rsidRPr="00FA11EC" w:rsidRDefault="0064539D"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(1,681)</w:t>
            </w:r>
          </w:p>
        </w:tc>
      </w:tr>
      <w:tr w:rsidR="009413A0" w:rsidRPr="002F44AF" w14:paraId="73C07D0B"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6C16AB3B" w14:textId="4C9E6253"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Operating profit</w:t>
            </w:r>
            <w:r w:rsidR="00FA11EC">
              <w:rPr>
                <w:rFonts w:ascii="Arial" w:eastAsia="Times New Roman" w:hAnsi="Arial" w:cs="Arial"/>
                <w:b/>
                <w:bCs/>
                <w:color w:val="000000"/>
                <w:sz w:val="20"/>
                <w:szCs w:val="20"/>
                <w:lang w:eastAsia="en-GB"/>
              </w:rPr>
              <w:t>/(loss)</w:t>
            </w:r>
          </w:p>
        </w:tc>
        <w:tc>
          <w:tcPr>
            <w:tcW w:w="628" w:type="dxa"/>
            <w:tcBorders>
              <w:top w:val="nil"/>
              <w:left w:val="nil"/>
              <w:bottom w:val="dotted" w:sz="8" w:space="0" w:color="auto"/>
              <w:right w:val="dotted" w:sz="8" w:space="0" w:color="auto"/>
            </w:tcBorders>
            <w:vAlign w:val="bottom"/>
            <w:hideMark/>
          </w:tcPr>
          <w:p w14:paraId="3CB3D691"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5A3B5450" w14:textId="48488F35" w:rsidR="009413A0" w:rsidRPr="00FA11EC" w:rsidRDefault="00FA11EC"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179</w:t>
            </w:r>
          </w:p>
        </w:tc>
        <w:tc>
          <w:tcPr>
            <w:tcW w:w="1135" w:type="dxa"/>
            <w:tcBorders>
              <w:top w:val="nil"/>
              <w:left w:val="nil"/>
              <w:bottom w:val="dotted" w:sz="8" w:space="0" w:color="auto"/>
              <w:right w:val="dotted" w:sz="8" w:space="0" w:color="auto"/>
            </w:tcBorders>
          </w:tcPr>
          <w:p w14:paraId="311E6086" w14:textId="2C8F74D8" w:rsidR="009413A0" w:rsidRPr="00FA11EC" w:rsidRDefault="009413A0"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(178)</w:t>
            </w:r>
          </w:p>
        </w:tc>
        <w:tc>
          <w:tcPr>
            <w:tcW w:w="1134" w:type="dxa"/>
            <w:tcBorders>
              <w:top w:val="nil"/>
              <w:left w:val="nil"/>
              <w:bottom w:val="dotted" w:sz="8" w:space="0" w:color="auto"/>
              <w:right w:val="dotted" w:sz="8" w:space="0" w:color="auto"/>
            </w:tcBorders>
            <w:vAlign w:val="bottom"/>
          </w:tcPr>
          <w:p w14:paraId="7569B7E3" w14:textId="4D17C44F" w:rsidR="009413A0" w:rsidRPr="00FA11EC" w:rsidRDefault="0064539D"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(403)</w:t>
            </w:r>
          </w:p>
        </w:tc>
      </w:tr>
      <w:tr w:rsidR="009413A0" w:rsidRPr="002F44AF" w14:paraId="2BFC01E9"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3A89F952"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Finance income</w:t>
            </w:r>
          </w:p>
        </w:tc>
        <w:tc>
          <w:tcPr>
            <w:tcW w:w="628" w:type="dxa"/>
            <w:tcBorders>
              <w:top w:val="nil"/>
              <w:left w:val="nil"/>
              <w:bottom w:val="dotted" w:sz="8" w:space="0" w:color="auto"/>
              <w:right w:val="dotted" w:sz="8" w:space="0" w:color="auto"/>
            </w:tcBorders>
            <w:vAlign w:val="bottom"/>
            <w:hideMark/>
          </w:tcPr>
          <w:p w14:paraId="5A2E8F09"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47323AB7" w14:textId="732EF8AB" w:rsidR="009413A0" w:rsidRPr="00FA11EC" w:rsidRDefault="00FA11EC"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w:t>
            </w:r>
          </w:p>
        </w:tc>
        <w:tc>
          <w:tcPr>
            <w:tcW w:w="1135" w:type="dxa"/>
            <w:tcBorders>
              <w:top w:val="nil"/>
              <w:left w:val="nil"/>
              <w:bottom w:val="dotted" w:sz="8" w:space="0" w:color="auto"/>
              <w:right w:val="dotted" w:sz="8" w:space="0" w:color="auto"/>
            </w:tcBorders>
          </w:tcPr>
          <w:p w14:paraId="6D034E47" w14:textId="1682404A" w:rsidR="009413A0" w:rsidRPr="00FA11EC" w:rsidRDefault="009413A0"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w:t>
            </w:r>
          </w:p>
        </w:tc>
        <w:tc>
          <w:tcPr>
            <w:tcW w:w="1134" w:type="dxa"/>
            <w:tcBorders>
              <w:top w:val="nil"/>
              <w:left w:val="nil"/>
              <w:bottom w:val="dotted" w:sz="8" w:space="0" w:color="auto"/>
              <w:right w:val="dotted" w:sz="8" w:space="0" w:color="auto"/>
            </w:tcBorders>
            <w:vAlign w:val="bottom"/>
          </w:tcPr>
          <w:p w14:paraId="32DEE4CB" w14:textId="6FD7EE4C" w:rsidR="009413A0" w:rsidRPr="00FA11EC" w:rsidRDefault="0064539D"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1</w:t>
            </w:r>
          </w:p>
        </w:tc>
      </w:tr>
      <w:tr w:rsidR="009413A0" w:rsidRPr="009413A0" w14:paraId="34D8874A"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7DE20A07" w14:textId="73F7B31F" w:rsidR="009413A0" w:rsidRPr="002F44AF" w:rsidRDefault="009413A0" w:rsidP="009413A0">
            <w:pPr>
              <w:spacing w:after="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Profit</w:t>
            </w:r>
            <w:r w:rsidR="00FA11EC">
              <w:rPr>
                <w:rFonts w:ascii="Arial" w:eastAsia="Times New Roman" w:hAnsi="Arial" w:cs="Arial"/>
                <w:b/>
                <w:bCs/>
                <w:color w:val="000000"/>
                <w:sz w:val="20"/>
                <w:szCs w:val="20"/>
                <w:lang w:eastAsia="en-GB"/>
              </w:rPr>
              <w:t xml:space="preserve">/(loss) </w:t>
            </w:r>
            <w:r w:rsidRPr="002F44AF">
              <w:rPr>
                <w:rFonts w:ascii="Arial" w:eastAsia="Times New Roman" w:hAnsi="Arial" w:cs="Arial"/>
                <w:b/>
                <w:bCs/>
                <w:color w:val="000000"/>
                <w:sz w:val="20"/>
                <w:szCs w:val="20"/>
                <w:lang w:eastAsia="en-GB"/>
              </w:rPr>
              <w:t>before taxation</w:t>
            </w:r>
          </w:p>
        </w:tc>
        <w:tc>
          <w:tcPr>
            <w:tcW w:w="628" w:type="dxa"/>
            <w:tcBorders>
              <w:top w:val="nil"/>
              <w:left w:val="nil"/>
              <w:bottom w:val="dotted" w:sz="8" w:space="0" w:color="auto"/>
              <w:right w:val="dotted" w:sz="8" w:space="0" w:color="auto"/>
            </w:tcBorders>
            <w:vAlign w:val="bottom"/>
            <w:hideMark/>
          </w:tcPr>
          <w:p w14:paraId="63A7AC32"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3285EB88" w14:textId="18DC5758" w:rsidR="009413A0" w:rsidRPr="00FA11EC" w:rsidRDefault="00FA11EC"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180</w:t>
            </w:r>
          </w:p>
        </w:tc>
        <w:tc>
          <w:tcPr>
            <w:tcW w:w="1135" w:type="dxa"/>
            <w:tcBorders>
              <w:top w:val="nil"/>
              <w:left w:val="nil"/>
              <w:bottom w:val="dotted" w:sz="8" w:space="0" w:color="auto"/>
              <w:right w:val="dotted" w:sz="8" w:space="0" w:color="auto"/>
            </w:tcBorders>
          </w:tcPr>
          <w:p w14:paraId="56A9936D" w14:textId="1DE904BE" w:rsidR="009413A0" w:rsidRPr="00FA11EC" w:rsidRDefault="009413A0"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(178)</w:t>
            </w:r>
          </w:p>
        </w:tc>
        <w:tc>
          <w:tcPr>
            <w:tcW w:w="1134" w:type="dxa"/>
            <w:tcBorders>
              <w:top w:val="nil"/>
              <w:left w:val="nil"/>
              <w:bottom w:val="dotted" w:sz="8" w:space="0" w:color="auto"/>
              <w:right w:val="dotted" w:sz="8" w:space="0" w:color="auto"/>
            </w:tcBorders>
            <w:vAlign w:val="bottom"/>
          </w:tcPr>
          <w:p w14:paraId="4289A054" w14:textId="299B76B9" w:rsidR="009413A0" w:rsidRPr="00FA11EC" w:rsidRDefault="0064539D"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(402)</w:t>
            </w:r>
          </w:p>
        </w:tc>
      </w:tr>
      <w:tr w:rsidR="009413A0" w:rsidRPr="002F44AF" w14:paraId="20BB3E72"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71CAF460"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Taxation</w:t>
            </w:r>
          </w:p>
        </w:tc>
        <w:tc>
          <w:tcPr>
            <w:tcW w:w="628" w:type="dxa"/>
            <w:tcBorders>
              <w:top w:val="nil"/>
              <w:left w:val="nil"/>
              <w:bottom w:val="dotted" w:sz="8" w:space="0" w:color="auto"/>
              <w:right w:val="dotted" w:sz="8" w:space="0" w:color="auto"/>
            </w:tcBorders>
            <w:vAlign w:val="bottom"/>
            <w:hideMark/>
          </w:tcPr>
          <w:p w14:paraId="120E068E"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3F1E3CD8" w14:textId="009F9577" w:rsidR="009413A0" w:rsidRPr="00FA11EC" w:rsidRDefault="00FA11EC"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w:t>
            </w:r>
          </w:p>
        </w:tc>
        <w:tc>
          <w:tcPr>
            <w:tcW w:w="1135" w:type="dxa"/>
            <w:tcBorders>
              <w:top w:val="nil"/>
              <w:left w:val="nil"/>
              <w:bottom w:val="dotted" w:sz="8" w:space="0" w:color="auto"/>
              <w:right w:val="dotted" w:sz="8" w:space="0" w:color="auto"/>
            </w:tcBorders>
          </w:tcPr>
          <w:p w14:paraId="0610FA59" w14:textId="0F67A6CC" w:rsidR="009413A0" w:rsidRPr="00FA11EC" w:rsidRDefault="009413A0"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w:t>
            </w:r>
          </w:p>
        </w:tc>
        <w:tc>
          <w:tcPr>
            <w:tcW w:w="1134" w:type="dxa"/>
            <w:tcBorders>
              <w:top w:val="nil"/>
              <w:left w:val="nil"/>
              <w:bottom w:val="dotted" w:sz="8" w:space="0" w:color="auto"/>
              <w:right w:val="dotted" w:sz="8" w:space="0" w:color="auto"/>
            </w:tcBorders>
            <w:vAlign w:val="bottom"/>
          </w:tcPr>
          <w:p w14:paraId="5460CD92" w14:textId="758FFBC9" w:rsidR="009413A0" w:rsidRPr="00FA11EC" w:rsidRDefault="0064539D" w:rsidP="009413A0">
            <w:pPr>
              <w:spacing w:after="0" w:line="207" w:lineRule="atLeast"/>
              <w:jc w:val="right"/>
              <w:rPr>
                <w:rFonts w:ascii="Arial" w:eastAsia="Times New Roman" w:hAnsi="Arial" w:cs="Arial"/>
                <w:color w:val="000000"/>
                <w:sz w:val="20"/>
                <w:szCs w:val="20"/>
                <w:lang w:eastAsia="en-GB"/>
              </w:rPr>
            </w:pPr>
            <w:r w:rsidRPr="00FA11EC">
              <w:rPr>
                <w:rFonts w:ascii="Arial" w:eastAsia="Times New Roman" w:hAnsi="Arial" w:cs="Arial"/>
                <w:color w:val="000000"/>
                <w:sz w:val="20"/>
                <w:szCs w:val="20"/>
                <w:lang w:eastAsia="en-GB"/>
              </w:rPr>
              <w:t>34</w:t>
            </w:r>
          </w:p>
        </w:tc>
      </w:tr>
      <w:tr w:rsidR="009413A0" w:rsidRPr="002F44AF" w14:paraId="0294BF00"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4A575E2D" w14:textId="3FCDC055" w:rsidR="009413A0" w:rsidRPr="002F44AF" w:rsidRDefault="003A1383" w:rsidP="009413A0">
            <w:pPr>
              <w:spacing w:after="0" w:line="207" w:lineRule="atLeas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P</w:t>
            </w:r>
            <w:r w:rsidR="009413A0" w:rsidRPr="002F44AF">
              <w:rPr>
                <w:rFonts w:ascii="Arial" w:eastAsia="Times New Roman" w:hAnsi="Arial" w:cs="Arial"/>
                <w:b/>
                <w:bCs/>
                <w:color w:val="000000"/>
                <w:sz w:val="20"/>
                <w:szCs w:val="20"/>
                <w:lang w:eastAsia="en-GB"/>
              </w:rPr>
              <w:t>rofit</w:t>
            </w:r>
            <w:r>
              <w:rPr>
                <w:rFonts w:ascii="Arial" w:eastAsia="Times New Roman" w:hAnsi="Arial" w:cs="Arial"/>
                <w:b/>
                <w:bCs/>
                <w:color w:val="000000"/>
                <w:sz w:val="20"/>
                <w:szCs w:val="20"/>
                <w:lang w:eastAsia="en-GB"/>
              </w:rPr>
              <w:t>/(loss)</w:t>
            </w:r>
            <w:r w:rsidR="009413A0" w:rsidRPr="002F44AF">
              <w:rPr>
                <w:rFonts w:ascii="Arial" w:eastAsia="Times New Roman" w:hAnsi="Arial" w:cs="Arial"/>
                <w:b/>
                <w:bCs/>
                <w:color w:val="000000"/>
                <w:sz w:val="20"/>
                <w:szCs w:val="20"/>
                <w:lang w:eastAsia="en-GB"/>
              </w:rPr>
              <w:t xml:space="preserve"> for the period</w:t>
            </w:r>
          </w:p>
        </w:tc>
        <w:tc>
          <w:tcPr>
            <w:tcW w:w="628" w:type="dxa"/>
            <w:tcBorders>
              <w:top w:val="nil"/>
              <w:left w:val="nil"/>
              <w:bottom w:val="dotted" w:sz="8" w:space="0" w:color="auto"/>
              <w:right w:val="dotted" w:sz="8" w:space="0" w:color="auto"/>
            </w:tcBorders>
            <w:vAlign w:val="bottom"/>
            <w:hideMark/>
          </w:tcPr>
          <w:p w14:paraId="14C4B81F"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59D83395" w14:textId="2E45DD8B" w:rsidR="00FA11EC" w:rsidRPr="00FA11EC" w:rsidRDefault="00FA11EC" w:rsidP="00FA11EC">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180</w:t>
            </w:r>
          </w:p>
        </w:tc>
        <w:tc>
          <w:tcPr>
            <w:tcW w:w="1135" w:type="dxa"/>
            <w:tcBorders>
              <w:top w:val="nil"/>
              <w:left w:val="nil"/>
              <w:bottom w:val="dotted" w:sz="8" w:space="0" w:color="auto"/>
              <w:right w:val="dotted" w:sz="8" w:space="0" w:color="auto"/>
            </w:tcBorders>
          </w:tcPr>
          <w:p w14:paraId="563FCF6B" w14:textId="16769550" w:rsidR="009413A0" w:rsidRPr="00FA11EC" w:rsidRDefault="009413A0"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(178)</w:t>
            </w:r>
          </w:p>
        </w:tc>
        <w:tc>
          <w:tcPr>
            <w:tcW w:w="1134" w:type="dxa"/>
            <w:tcBorders>
              <w:top w:val="nil"/>
              <w:left w:val="nil"/>
              <w:bottom w:val="dotted" w:sz="8" w:space="0" w:color="auto"/>
              <w:right w:val="dotted" w:sz="8" w:space="0" w:color="auto"/>
            </w:tcBorders>
            <w:vAlign w:val="bottom"/>
          </w:tcPr>
          <w:p w14:paraId="6905121D" w14:textId="611AD82F" w:rsidR="009413A0" w:rsidRPr="00FA11EC" w:rsidRDefault="0064539D" w:rsidP="009413A0">
            <w:pPr>
              <w:spacing w:after="0" w:line="207" w:lineRule="atLeast"/>
              <w:jc w:val="right"/>
              <w:rPr>
                <w:rFonts w:ascii="Arial" w:eastAsia="Times New Roman" w:hAnsi="Arial" w:cs="Arial"/>
                <w:b/>
                <w:bCs/>
                <w:color w:val="000000"/>
                <w:sz w:val="20"/>
                <w:szCs w:val="20"/>
                <w:lang w:eastAsia="en-GB"/>
              </w:rPr>
            </w:pPr>
            <w:r w:rsidRPr="00FA11EC">
              <w:rPr>
                <w:rFonts w:ascii="Arial" w:eastAsia="Times New Roman" w:hAnsi="Arial" w:cs="Arial"/>
                <w:b/>
                <w:bCs/>
                <w:color w:val="000000"/>
                <w:sz w:val="20"/>
                <w:szCs w:val="20"/>
                <w:lang w:eastAsia="en-GB"/>
              </w:rPr>
              <w:t>(368)</w:t>
            </w:r>
          </w:p>
        </w:tc>
      </w:tr>
    </w:tbl>
    <w:p w14:paraId="1F701C06" w14:textId="77777777" w:rsidR="002C5B2A" w:rsidRPr="002F44AF" w:rsidRDefault="002C5B2A" w:rsidP="002C5B2A">
      <w:pPr>
        <w:spacing w:before="40" w:line="253" w:lineRule="atLeast"/>
        <w:textAlignment w:val="center"/>
        <w:rPr>
          <w:rFonts w:ascii="Calibri" w:eastAsia="Times New Roman" w:hAnsi="Calibri" w:cs="Calibri"/>
          <w:color w:val="000000"/>
          <w:lang w:eastAsia="en-GB"/>
        </w:rPr>
      </w:pPr>
      <w:r w:rsidRPr="002F44AF">
        <w:rPr>
          <w:rFonts w:ascii="Arial" w:eastAsia="Times New Roman" w:hAnsi="Arial" w:cs="Arial"/>
          <w:color w:val="000000"/>
          <w:sz w:val="20"/>
          <w:szCs w:val="20"/>
          <w:lang w:eastAsia="en-GB"/>
        </w:rPr>
        <w:t> </w:t>
      </w:r>
    </w:p>
    <w:tbl>
      <w:tblPr>
        <w:tblW w:w="9260" w:type="dxa"/>
        <w:tblInd w:w="8" w:type="dxa"/>
        <w:tblCellMar>
          <w:left w:w="0" w:type="dxa"/>
          <w:right w:w="0" w:type="dxa"/>
        </w:tblCellMar>
        <w:tblLook w:val="04A0" w:firstRow="1" w:lastRow="0" w:firstColumn="1" w:lastColumn="0" w:noHBand="0" w:noVBand="1"/>
      </w:tblPr>
      <w:tblGrid>
        <w:gridCol w:w="5085"/>
        <w:gridCol w:w="567"/>
        <w:gridCol w:w="1134"/>
        <w:gridCol w:w="1134"/>
        <w:gridCol w:w="1340"/>
      </w:tblGrid>
      <w:tr w:rsidR="002C5B2A" w:rsidRPr="002F44AF" w14:paraId="3C4C2BDF" w14:textId="77777777" w:rsidTr="003A1383">
        <w:trPr>
          <w:trHeight w:val="60"/>
        </w:trPr>
        <w:tc>
          <w:tcPr>
            <w:tcW w:w="5085" w:type="dxa"/>
            <w:tcBorders>
              <w:top w:val="dotted" w:sz="8" w:space="0" w:color="auto"/>
              <w:left w:val="dotted" w:sz="8" w:space="0" w:color="auto"/>
              <w:bottom w:val="dotted" w:sz="8" w:space="0" w:color="auto"/>
              <w:right w:val="dotted" w:sz="8" w:space="0" w:color="auto"/>
            </w:tcBorders>
            <w:vAlign w:val="bottom"/>
            <w:hideMark/>
          </w:tcPr>
          <w:p w14:paraId="2AEFCE6D"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567" w:type="dxa"/>
            <w:tcBorders>
              <w:top w:val="dotted" w:sz="8" w:space="0" w:color="auto"/>
              <w:left w:val="nil"/>
              <w:bottom w:val="dotted" w:sz="8" w:space="0" w:color="auto"/>
              <w:right w:val="dotted" w:sz="8" w:space="0" w:color="auto"/>
            </w:tcBorders>
            <w:vAlign w:val="bottom"/>
            <w:hideMark/>
          </w:tcPr>
          <w:p w14:paraId="4CCEF793"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134" w:type="dxa"/>
            <w:tcBorders>
              <w:top w:val="dotted" w:sz="8" w:space="0" w:color="auto"/>
              <w:left w:val="nil"/>
              <w:bottom w:val="dotted" w:sz="8" w:space="0" w:color="auto"/>
              <w:right w:val="dotted" w:sz="8" w:space="0" w:color="auto"/>
            </w:tcBorders>
            <w:vAlign w:val="bottom"/>
            <w:hideMark/>
          </w:tcPr>
          <w:p w14:paraId="3AFCA349"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Pence</w:t>
            </w:r>
          </w:p>
        </w:tc>
        <w:tc>
          <w:tcPr>
            <w:tcW w:w="1134" w:type="dxa"/>
            <w:tcBorders>
              <w:top w:val="dotted" w:sz="8" w:space="0" w:color="auto"/>
              <w:left w:val="nil"/>
              <w:bottom w:val="dotted" w:sz="8" w:space="0" w:color="auto"/>
              <w:right w:val="dotted" w:sz="8" w:space="0" w:color="auto"/>
            </w:tcBorders>
            <w:vAlign w:val="bottom"/>
            <w:hideMark/>
          </w:tcPr>
          <w:p w14:paraId="0910FC0B" w14:textId="77777777" w:rsidR="002C5B2A" w:rsidRPr="0064539D" w:rsidRDefault="002C5B2A" w:rsidP="00A00BE9">
            <w:pPr>
              <w:spacing w:after="0" w:line="161" w:lineRule="atLeast"/>
              <w:jc w:val="right"/>
              <w:rPr>
                <w:rFonts w:ascii="Arial" w:eastAsia="Times New Roman" w:hAnsi="Arial" w:cs="Arial"/>
                <w:b/>
                <w:bCs/>
                <w:color w:val="000000"/>
                <w:sz w:val="14"/>
                <w:szCs w:val="14"/>
                <w:lang w:eastAsia="en-GB"/>
              </w:rPr>
            </w:pPr>
            <w:r w:rsidRPr="0064539D">
              <w:rPr>
                <w:rFonts w:ascii="Arial" w:eastAsia="Times New Roman" w:hAnsi="Arial" w:cs="Arial"/>
                <w:b/>
                <w:bCs/>
                <w:color w:val="000000"/>
                <w:sz w:val="20"/>
                <w:szCs w:val="20"/>
                <w:lang w:eastAsia="en-GB"/>
              </w:rPr>
              <w:t>Pence</w:t>
            </w:r>
          </w:p>
        </w:tc>
        <w:tc>
          <w:tcPr>
            <w:tcW w:w="1340" w:type="dxa"/>
            <w:tcBorders>
              <w:top w:val="dotted" w:sz="8" w:space="0" w:color="auto"/>
              <w:left w:val="nil"/>
              <w:bottom w:val="dotted" w:sz="8" w:space="0" w:color="auto"/>
              <w:right w:val="dotted" w:sz="8" w:space="0" w:color="auto"/>
            </w:tcBorders>
            <w:vAlign w:val="bottom"/>
            <w:hideMark/>
          </w:tcPr>
          <w:p w14:paraId="6BA1E146" w14:textId="77777777" w:rsidR="002C5B2A" w:rsidRPr="0064539D" w:rsidRDefault="002C5B2A" w:rsidP="00A00BE9">
            <w:pPr>
              <w:spacing w:after="0" w:line="161" w:lineRule="atLeast"/>
              <w:jc w:val="right"/>
              <w:rPr>
                <w:rFonts w:ascii="Arial" w:eastAsia="Times New Roman" w:hAnsi="Arial" w:cs="Arial"/>
                <w:b/>
                <w:bCs/>
                <w:color w:val="000000"/>
                <w:sz w:val="14"/>
                <w:szCs w:val="14"/>
                <w:lang w:eastAsia="en-GB"/>
              </w:rPr>
            </w:pPr>
            <w:r w:rsidRPr="0064539D">
              <w:rPr>
                <w:rFonts w:ascii="Arial" w:eastAsia="Times New Roman" w:hAnsi="Arial" w:cs="Arial"/>
                <w:b/>
                <w:bCs/>
                <w:color w:val="000000"/>
                <w:sz w:val="20"/>
                <w:szCs w:val="20"/>
                <w:lang w:eastAsia="en-GB"/>
              </w:rPr>
              <w:t>Pence</w:t>
            </w:r>
          </w:p>
        </w:tc>
      </w:tr>
      <w:tr w:rsidR="002C5B2A" w:rsidRPr="002F44AF" w14:paraId="6A5981BF"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513BE426"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Earnings per share</w:t>
            </w:r>
          </w:p>
        </w:tc>
        <w:tc>
          <w:tcPr>
            <w:tcW w:w="567" w:type="dxa"/>
            <w:tcBorders>
              <w:top w:val="nil"/>
              <w:left w:val="nil"/>
              <w:bottom w:val="dotted" w:sz="8" w:space="0" w:color="auto"/>
              <w:right w:val="dotted" w:sz="8" w:space="0" w:color="auto"/>
            </w:tcBorders>
            <w:vAlign w:val="bottom"/>
            <w:hideMark/>
          </w:tcPr>
          <w:p w14:paraId="01AC735B"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4" w:type="dxa"/>
            <w:tcBorders>
              <w:top w:val="nil"/>
              <w:left w:val="nil"/>
              <w:bottom w:val="dotted" w:sz="8" w:space="0" w:color="auto"/>
              <w:right w:val="dotted" w:sz="8" w:space="0" w:color="auto"/>
            </w:tcBorders>
            <w:vAlign w:val="bottom"/>
            <w:hideMark/>
          </w:tcPr>
          <w:p w14:paraId="4FD20C9A"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4" w:type="dxa"/>
            <w:tcBorders>
              <w:top w:val="nil"/>
              <w:left w:val="nil"/>
              <w:bottom w:val="dotted" w:sz="8" w:space="0" w:color="auto"/>
              <w:right w:val="dotted" w:sz="8" w:space="0" w:color="auto"/>
            </w:tcBorders>
            <w:vAlign w:val="bottom"/>
            <w:hideMark/>
          </w:tcPr>
          <w:p w14:paraId="483A3FA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340" w:type="dxa"/>
            <w:tcBorders>
              <w:top w:val="nil"/>
              <w:left w:val="nil"/>
              <w:bottom w:val="dotted" w:sz="8" w:space="0" w:color="auto"/>
              <w:right w:val="dotted" w:sz="8" w:space="0" w:color="auto"/>
            </w:tcBorders>
            <w:vAlign w:val="bottom"/>
            <w:hideMark/>
          </w:tcPr>
          <w:p w14:paraId="7DA97E26"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9413A0" w:rsidRPr="002F44AF" w14:paraId="68548130"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06D365AA"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Basic profit per share</w:t>
            </w:r>
          </w:p>
        </w:tc>
        <w:tc>
          <w:tcPr>
            <w:tcW w:w="567" w:type="dxa"/>
            <w:tcBorders>
              <w:top w:val="nil"/>
              <w:left w:val="nil"/>
              <w:bottom w:val="dotted" w:sz="8" w:space="0" w:color="auto"/>
              <w:right w:val="dotted" w:sz="8" w:space="0" w:color="auto"/>
            </w:tcBorders>
            <w:vAlign w:val="bottom"/>
            <w:hideMark/>
          </w:tcPr>
          <w:p w14:paraId="76EFE619"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[3]</w:t>
            </w:r>
          </w:p>
        </w:tc>
        <w:tc>
          <w:tcPr>
            <w:tcW w:w="1134" w:type="dxa"/>
            <w:tcBorders>
              <w:top w:val="nil"/>
              <w:left w:val="nil"/>
              <w:bottom w:val="dotted" w:sz="8" w:space="0" w:color="auto"/>
              <w:right w:val="dotted" w:sz="8" w:space="0" w:color="auto"/>
            </w:tcBorders>
            <w:vAlign w:val="bottom"/>
          </w:tcPr>
          <w:p w14:paraId="6C5B47E3" w14:textId="0512367E" w:rsidR="009413A0" w:rsidRPr="00886AA9" w:rsidRDefault="00886AA9" w:rsidP="009413A0">
            <w:pPr>
              <w:spacing w:after="0" w:line="207" w:lineRule="atLeast"/>
              <w:jc w:val="right"/>
              <w:rPr>
                <w:rFonts w:ascii="Arial" w:eastAsia="Times New Roman" w:hAnsi="Arial" w:cs="Arial"/>
                <w:color w:val="000000"/>
                <w:sz w:val="20"/>
                <w:szCs w:val="20"/>
                <w:lang w:eastAsia="en-GB"/>
              </w:rPr>
            </w:pPr>
            <w:r w:rsidRPr="00886AA9">
              <w:rPr>
                <w:rFonts w:ascii="Arial" w:eastAsia="Times New Roman" w:hAnsi="Arial" w:cs="Arial"/>
                <w:color w:val="000000"/>
                <w:sz w:val="20"/>
                <w:szCs w:val="20"/>
                <w:lang w:eastAsia="en-GB"/>
              </w:rPr>
              <w:t>0.13</w:t>
            </w:r>
          </w:p>
        </w:tc>
        <w:tc>
          <w:tcPr>
            <w:tcW w:w="1134" w:type="dxa"/>
            <w:tcBorders>
              <w:top w:val="nil"/>
              <w:left w:val="nil"/>
              <w:bottom w:val="dotted" w:sz="8" w:space="0" w:color="auto"/>
              <w:right w:val="dotted" w:sz="8" w:space="0" w:color="auto"/>
            </w:tcBorders>
            <w:vAlign w:val="bottom"/>
            <w:hideMark/>
          </w:tcPr>
          <w:p w14:paraId="04E1C495" w14:textId="176FA276" w:rsidR="009413A0" w:rsidRPr="00886AA9" w:rsidRDefault="009413A0" w:rsidP="009413A0">
            <w:pPr>
              <w:spacing w:after="0" w:line="207" w:lineRule="atLeast"/>
              <w:jc w:val="right"/>
              <w:rPr>
                <w:rFonts w:ascii="Arial" w:eastAsia="Times New Roman" w:hAnsi="Arial" w:cs="Arial"/>
                <w:color w:val="000000"/>
                <w:sz w:val="20"/>
                <w:szCs w:val="20"/>
                <w:lang w:eastAsia="en-GB"/>
              </w:rPr>
            </w:pPr>
            <w:r w:rsidRPr="00886AA9">
              <w:rPr>
                <w:rFonts w:ascii="Arial" w:eastAsia="Times New Roman" w:hAnsi="Arial" w:cs="Arial"/>
                <w:color w:val="000000"/>
                <w:sz w:val="20"/>
                <w:szCs w:val="20"/>
                <w:lang w:eastAsia="en-GB"/>
              </w:rPr>
              <w:t>(0.13)</w:t>
            </w:r>
          </w:p>
        </w:tc>
        <w:tc>
          <w:tcPr>
            <w:tcW w:w="1340" w:type="dxa"/>
            <w:tcBorders>
              <w:top w:val="nil"/>
              <w:left w:val="nil"/>
              <w:bottom w:val="dotted" w:sz="8" w:space="0" w:color="auto"/>
              <w:right w:val="dotted" w:sz="8" w:space="0" w:color="auto"/>
            </w:tcBorders>
            <w:vAlign w:val="bottom"/>
          </w:tcPr>
          <w:p w14:paraId="643F3802" w14:textId="26CE0A9A" w:rsidR="009413A0" w:rsidRPr="002F44AF" w:rsidRDefault="0064539D" w:rsidP="009413A0">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(0.27)</w:t>
            </w:r>
          </w:p>
        </w:tc>
      </w:tr>
      <w:tr w:rsidR="009413A0" w:rsidRPr="002F44AF" w14:paraId="125DC393" w14:textId="77777777" w:rsidTr="003A1383">
        <w:trPr>
          <w:trHeight w:val="60"/>
        </w:trPr>
        <w:tc>
          <w:tcPr>
            <w:tcW w:w="5085" w:type="dxa"/>
            <w:tcBorders>
              <w:top w:val="nil"/>
              <w:left w:val="dotted" w:sz="8" w:space="0" w:color="auto"/>
              <w:bottom w:val="dotted" w:sz="8" w:space="0" w:color="auto"/>
              <w:right w:val="dotted" w:sz="8" w:space="0" w:color="auto"/>
            </w:tcBorders>
            <w:vAlign w:val="bottom"/>
            <w:hideMark/>
          </w:tcPr>
          <w:p w14:paraId="0CECEDD3"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Diluted profit per share</w:t>
            </w:r>
          </w:p>
        </w:tc>
        <w:tc>
          <w:tcPr>
            <w:tcW w:w="567" w:type="dxa"/>
            <w:tcBorders>
              <w:top w:val="nil"/>
              <w:left w:val="nil"/>
              <w:bottom w:val="dotted" w:sz="8" w:space="0" w:color="auto"/>
              <w:right w:val="dotted" w:sz="8" w:space="0" w:color="auto"/>
            </w:tcBorders>
            <w:vAlign w:val="bottom"/>
            <w:hideMark/>
          </w:tcPr>
          <w:p w14:paraId="786C73E4"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4" w:type="dxa"/>
            <w:tcBorders>
              <w:top w:val="nil"/>
              <w:left w:val="nil"/>
              <w:bottom w:val="dotted" w:sz="8" w:space="0" w:color="auto"/>
              <w:right w:val="dotted" w:sz="8" w:space="0" w:color="auto"/>
            </w:tcBorders>
            <w:vAlign w:val="bottom"/>
          </w:tcPr>
          <w:p w14:paraId="73A6F387" w14:textId="672D5D1F" w:rsidR="009413A0" w:rsidRPr="00886AA9" w:rsidRDefault="00886AA9" w:rsidP="009413A0">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0.13</w:t>
            </w:r>
          </w:p>
        </w:tc>
        <w:tc>
          <w:tcPr>
            <w:tcW w:w="1134" w:type="dxa"/>
            <w:tcBorders>
              <w:top w:val="nil"/>
              <w:left w:val="nil"/>
              <w:bottom w:val="dotted" w:sz="8" w:space="0" w:color="auto"/>
              <w:right w:val="dotted" w:sz="8" w:space="0" w:color="auto"/>
            </w:tcBorders>
            <w:vAlign w:val="bottom"/>
            <w:hideMark/>
          </w:tcPr>
          <w:p w14:paraId="66D96C11" w14:textId="2B4B1B77" w:rsidR="009413A0" w:rsidRPr="00886AA9" w:rsidRDefault="009413A0" w:rsidP="009413A0">
            <w:pPr>
              <w:spacing w:after="0" w:line="207" w:lineRule="atLeast"/>
              <w:jc w:val="right"/>
              <w:rPr>
                <w:rFonts w:ascii="Arial" w:eastAsia="Times New Roman" w:hAnsi="Arial" w:cs="Arial"/>
                <w:color w:val="000000"/>
                <w:sz w:val="20"/>
                <w:szCs w:val="20"/>
                <w:lang w:eastAsia="en-GB"/>
              </w:rPr>
            </w:pPr>
            <w:r w:rsidRPr="00886AA9">
              <w:rPr>
                <w:rFonts w:ascii="Arial" w:eastAsia="Times New Roman" w:hAnsi="Arial" w:cs="Arial"/>
                <w:color w:val="000000"/>
                <w:sz w:val="20"/>
                <w:szCs w:val="20"/>
                <w:lang w:eastAsia="en-GB"/>
              </w:rPr>
              <w:t>(0.13)</w:t>
            </w:r>
          </w:p>
        </w:tc>
        <w:tc>
          <w:tcPr>
            <w:tcW w:w="1340" w:type="dxa"/>
            <w:tcBorders>
              <w:top w:val="nil"/>
              <w:left w:val="nil"/>
              <w:bottom w:val="dotted" w:sz="8" w:space="0" w:color="auto"/>
              <w:right w:val="dotted" w:sz="8" w:space="0" w:color="auto"/>
            </w:tcBorders>
            <w:vAlign w:val="bottom"/>
          </w:tcPr>
          <w:p w14:paraId="3E13A2EA" w14:textId="73681D1D" w:rsidR="009413A0" w:rsidRPr="002F44AF" w:rsidRDefault="0064539D" w:rsidP="009413A0">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(0.27)</w:t>
            </w:r>
          </w:p>
        </w:tc>
      </w:tr>
    </w:tbl>
    <w:p w14:paraId="3224ACB4"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4402481D" w14:textId="6165E469" w:rsidR="000016EB" w:rsidRDefault="002C5B2A" w:rsidP="002C5B2A">
      <w:pPr>
        <w:spacing w:after="0" w:line="253" w:lineRule="atLeast"/>
        <w:rPr>
          <w:rFonts w:ascii="Arial" w:eastAsia="Times New Roman" w:hAnsi="Arial" w:cs="Arial"/>
          <w:color w:val="000000"/>
          <w:sz w:val="20"/>
          <w:szCs w:val="20"/>
          <w:lang w:eastAsia="en-GB"/>
        </w:rPr>
      </w:pPr>
      <w:r w:rsidRPr="002F44AF">
        <w:rPr>
          <w:rFonts w:ascii="Arial" w:eastAsia="Times New Roman" w:hAnsi="Arial" w:cs="Arial"/>
          <w:color w:val="000000"/>
          <w:sz w:val="20"/>
          <w:szCs w:val="20"/>
          <w:lang w:eastAsia="en-GB"/>
        </w:rPr>
        <w:t> </w:t>
      </w:r>
    </w:p>
    <w:p w14:paraId="1CF86830" w14:textId="48EFE63F" w:rsidR="000016EB" w:rsidRDefault="000016EB">
      <w:pPr>
        <w:spacing w:after="160" w:line="25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26954865" w14:textId="77777777" w:rsidR="002C5B2A" w:rsidRPr="000016EB" w:rsidRDefault="002C5B2A" w:rsidP="002C5B2A">
      <w:pPr>
        <w:spacing w:after="0" w:line="253" w:lineRule="atLeast"/>
        <w:rPr>
          <w:rFonts w:ascii="Calibri" w:eastAsia="Times New Roman" w:hAnsi="Calibri" w:cs="Calibri"/>
          <w:b/>
          <w:bCs/>
          <w:color w:val="000000"/>
          <w:lang w:eastAsia="en-GB"/>
        </w:rPr>
      </w:pPr>
      <w:r w:rsidRPr="000016EB">
        <w:rPr>
          <w:rFonts w:ascii="Arial" w:eastAsia="Times New Roman" w:hAnsi="Arial" w:cs="Arial"/>
          <w:b/>
          <w:bCs/>
          <w:color w:val="000000"/>
          <w:sz w:val="20"/>
          <w:szCs w:val="20"/>
          <w:lang w:eastAsia="en-GB"/>
        </w:rPr>
        <w:lastRenderedPageBreak/>
        <w:t>Consolidated statement of changes in equity</w:t>
      </w:r>
    </w:p>
    <w:p w14:paraId="48070596" w14:textId="6278A776"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t>For the six months ended 31 March 20</w:t>
      </w:r>
      <w:r w:rsidR="009413A0">
        <w:rPr>
          <w:rFonts w:ascii="Arial" w:eastAsia="Times New Roman" w:hAnsi="Arial" w:cs="Arial"/>
          <w:b/>
          <w:bCs/>
          <w:color w:val="000000"/>
          <w:sz w:val="20"/>
          <w:szCs w:val="20"/>
          <w:lang w:eastAsia="en-GB"/>
        </w:rPr>
        <w:t>20</w:t>
      </w:r>
    </w:p>
    <w:p w14:paraId="506E1C7D"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447" w:type="dxa"/>
        <w:tblInd w:w="8" w:type="dxa"/>
        <w:tblCellMar>
          <w:left w:w="0" w:type="dxa"/>
          <w:right w:w="0" w:type="dxa"/>
        </w:tblCellMar>
        <w:tblLook w:val="04A0" w:firstRow="1" w:lastRow="0" w:firstColumn="1" w:lastColumn="0" w:noHBand="0" w:noVBand="1"/>
      </w:tblPr>
      <w:tblGrid>
        <w:gridCol w:w="5369"/>
        <w:gridCol w:w="817"/>
        <w:gridCol w:w="1131"/>
        <w:gridCol w:w="1131"/>
        <w:gridCol w:w="999"/>
      </w:tblGrid>
      <w:tr w:rsidR="002C5B2A" w:rsidRPr="002F44AF" w14:paraId="5AB81BE4" w14:textId="77777777" w:rsidTr="000016EB">
        <w:trPr>
          <w:trHeight w:val="60"/>
        </w:trPr>
        <w:tc>
          <w:tcPr>
            <w:tcW w:w="5369" w:type="dxa"/>
            <w:tcBorders>
              <w:top w:val="dotted" w:sz="8" w:space="0" w:color="auto"/>
              <w:left w:val="dotted" w:sz="8" w:space="0" w:color="auto"/>
              <w:bottom w:val="dotted" w:sz="8" w:space="0" w:color="auto"/>
              <w:right w:val="dotted" w:sz="8" w:space="0" w:color="auto"/>
            </w:tcBorders>
            <w:vAlign w:val="bottom"/>
            <w:hideMark/>
          </w:tcPr>
          <w:p w14:paraId="2B47CED0"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817" w:type="dxa"/>
            <w:tcBorders>
              <w:top w:val="dotted" w:sz="8" w:space="0" w:color="auto"/>
              <w:left w:val="nil"/>
              <w:bottom w:val="dotted" w:sz="8" w:space="0" w:color="auto"/>
              <w:right w:val="dotted" w:sz="8" w:space="0" w:color="auto"/>
            </w:tcBorders>
            <w:vAlign w:val="bottom"/>
            <w:hideMark/>
          </w:tcPr>
          <w:p w14:paraId="7CD5CE83" w14:textId="77777777" w:rsidR="002C5B2A" w:rsidRPr="002F44AF" w:rsidRDefault="002C5B2A" w:rsidP="000016EB">
            <w:pPr>
              <w:spacing w:after="0" w:line="161" w:lineRule="atLeast"/>
              <w:ind w:left="-1033"/>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Note</w:t>
            </w:r>
          </w:p>
        </w:tc>
        <w:tc>
          <w:tcPr>
            <w:tcW w:w="1131" w:type="dxa"/>
            <w:tcBorders>
              <w:top w:val="dotted" w:sz="8" w:space="0" w:color="auto"/>
              <w:left w:val="nil"/>
              <w:bottom w:val="dotted" w:sz="8" w:space="0" w:color="auto"/>
              <w:right w:val="dotted" w:sz="8" w:space="0" w:color="auto"/>
            </w:tcBorders>
            <w:hideMark/>
          </w:tcPr>
          <w:p w14:paraId="31606656"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5A42B6B3"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4C67D97A" w14:textId="017889B3"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w:t>
            </w:r>
            <w:r w:rsidR="009413A0">
              <w:rPr>
                <w:rFonts w:ascii="Arial" w:eastAsia="Times New Roman" w:hAnsi="Arial" w:cs="Arial"/>
                <w:b/>
                <w:bCs/>
                <w:color w:val="000000"/>
                <w:sz w:val="20"/>
                <w:szCs w:val="20"/>
                <w:lang w:eastAsia="en-GB"/>
              </w:rPr>
              <w:t>20</w:t>
            </w:r>
          </w:p>
          <w:p w14:paraId="470EFF1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255D63DC"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dotted" w:sz="8" w:space="0" w:color="auto"/>
            </w:tcBorders>
            <w:vAlign w:val="bottom"/>
            <w:hideMark/>
          </w:tcPr>
          <w:p w14:paraId="0ACCB97B"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6AF44CE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3936C349" w14:textId="2E575A21"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w:t>
            </w:r>
            <w:r w:rsidR="009413A0">
              <w:rPr>
                <w:rFonts w:ascii="Arial" w:eastAsia="Times New Roman" w:hAnsi="Arial" w:cs="Arial"/>
                <w:b/>
                <w:bCs/>
                <w:color w:val="000000"/>
                <w:sz w:val="20"/>
                <w:szCs w:val="20"/>
                <w:lang w:eastAsia="en-GB"/>
              </w:rPr>
              <w:t>9</w:t>
            </w:r>
          </w:p>
          <w:p w14:paraId="04EE962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5001EB7E" w14:textId="77777777" w:rsidR="002C5B2A" w:rsidRPr="002F44AF" w:rsidRDefault="002C5B2A" w:rsidP="00A00BE9">
            <w:pPr>
              <w:spacing w:after="0" w:line="161" w:lineRule="atLeast"/>
              <w:jc w:val="center"/>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        £'000</w:t>
            </w:r>
          </w:p>
        </w:tc>
        <w:tc>
          <w:tcPr>
            <w:tcW w:w="999" w:type="dxa"/>
            <w:tcBorders>
              <w:top w:val="dotted" w:sz="8" w:space="0" w:color="auto"/>
              <w:left w:val="nil"/>
              <w:bottom w:val="dotted" w:sz="8" w:space="0" w:color="auto"/>
              <w:right w:val="dotted" w:sz="8" w:space="0" w:color="auto"/>
            </w:tcBorders>
            <w:vAlign w:val="bottom"/>
            <w:hideMark/>
          </w:tcPr>
          <w:p w14:paraId="74B41E81"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Year ended</w:t>
            </w:r>
          </w:p>
          <w:p w14:paraId="3D0343FC"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30 September</w:t>
            </w:r>
          </w:p>
          <w:p w14:paraId="4153DD9C" w14:textId="1ADB5F0B"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 201</w:t>
            </w:r>
            <w:r w:rsidR="009413A0">
              <w:rPr>
                <w:rFonts w:ascii="Arial" w:eastAsia="Times New Roman" w:hAnsi="Arial" w:cs="Arial"/>
                <w:color w:val="000000"/>
                <w:sz w:val="20"/>
                <w:szCs w:val="20"/>
                <w:lang w:eastAsia="en-GB"/>
              </w:rPr>
              <w:t>9</w:t>
            </w:r>
          </w:p>
          <w:p w14:paraId="496972F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(Audited)</w:t>
            </w:r>
          </w:p>
          <w:p w14:paraId="6D6BC6D7"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£'000</w:t>
            </w:r>
          </w:p>
        </w:tc>
      </w:tr>
      <w:tr w:rsidR="009413A0" w:rsidRPr="002F44AF" w14:paraId="2DB5A07E" w14:textId="77777777" w:rsidTr="009413A0">
        <w:trPr>
          <w:trHeight w:val="60"/>
        </w:trPr>
        <w:tc>
          <w:tcPr>
            <w:tcW w:w="5369" w:type="dxa"/>
            <w:tcBorders>
              <w:top w:val="nil"/>
              <w:left w:val="dotted" w:sz="8" w:space="0" w:color="auto"/>
              <w:bottom w:val="dotted" w:sz="8" w:space="0" w:color="auto"/>
              <w:right w:val="dotted" w:sz="8" w:space="0" w:color="auto"/>
            </w:tcBorders>
            <w:vAlign w:val="bottom"/>
            <w:hideMark/>
          </w:tcPr>
          <w:p w14:paraId="6412E858"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Opening equity shareholders' funds</w:t>
            </w:r>
          </w:p>
        </w:tc>
        <w:tc>
          <w:tcPr>
            <w:tcW w:w="817" w:type="dxa"/>
            <w:tcBorders>
              <w:top w:val="nil"/>
              <w:left w:val="nil"/>
              <w:bottom w:val="dotted" w:sz="8" w:space="0" w:color="auto"/>
              <w:right w:val="dotted" w:sz="8" w:space="0" w:color="auto"/>
            </w:tcBorders>
            <w:vAlign w:val="bottom"/>
            <w:hideMark/>
          </w:tcPr>
          <w:p w14:paraId="44687519"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tcPr>
          <w:p w14:paraId="766126F5" w14:textId="43AEDD9F" w:rsidR="009413A0" w:rsidRPr="00A12757" w:rsidRDefault="00B83DB3" w:rsidP="009413A0">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1,268</w:t>
            </w:r>
          </w:p>
        </w:tc>
        <w:tc>
          <w:tcPr>
            <w:tcW w:w="1131" w:type="dxa"/>
            <w:tcBorders>
              <w:top w:val="nil"/>
              <w:left w:val="nil"/>
              <w:bottom w:val="dotted" w:sz="8" w:space="0" w:color="auto"/>
              <w:right w:val="dotted" w:sz="8" w:space="0" w:color="auto"/>
            </w:tcBorders>
            <w:hideMark/>
          </w:tcPr>
          <w:p w14:paraId="08206DE8" w14:textId="6C2CF15D" w:rsidR="009413A0" w:rsidRPr="009413A0" w:rsidRDefault="009413A0" w:rsidP="009413A0">
            <w:pPr>
              <w:spacing w:after="0" w:line="207" w:lineRule="atLeast"/>
              <w:jc w:val="right"/>
              <w:rPr>
                <w:rFonts w:ascii="Arial" w:eastAsia="Times New Roman" w:hAnsi="Arial" w:cs="Arial"/>
                <w:color w:val="000000"/>
                <w:sz w:val="18"/>
                <w:szCs w:val="18"/>
                <w:lang w:eastAsia="en-GB"/>
              </w:rPr>
            </w:pPr>
            <w:r w:rsidRPr="009413A0">
              <w:rPr>
                <w:rFonts w:ascii="Arial" w:eastAsia="Times New Roman" w:hAnsi="Arial" w:cs="Arial"/>
                <w:color w:val="000000"/>
                <w:sz w:val="20"/>
                <w:szCs w:val="20"/>
                <w:lang w:eastAsia="en-GB"/>
              </w:rPr>
              <w:t>1,630</w:t>
            </w:r>
          </w:p>
        </w:tc>
        <w:tc>
          <w:tcPr>
            <w:tcW w:w="999" w:type="dxa"/>
            <w:tcBorders>
              <w:top w:val="nil"/>
              <w:left w:val="nil"/>
              <w:bottom w:val="dotted" w:sz="8" w:space="0" w:color="auto"/>
              <w:right w:val="dotted" w:sz="8" w:space="0" w:color="auto"/>
            </w:tcBorders>
            <w:vAlign w:val="bottom"/>
          </w:tcPr>
          <w:p w14:paraId="5F251C25" w14:textId="22718B58" w:rsidR="009413A0" w:rsidRPr="002F44AF" w:rsidRDefault="00AD7B08" w:rsidP="009413A0">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1.630</w:t>
            </w:r>
          </w:p>
        </w:tc>
      </w:tr>
      <w:tr w:rsidR="009413A0" w:rsidRPr="002F44AF" w14:paraId="7789EC98" w14:textId="77777777" w:rsidTr="009413A0">
        <w:trPr>
          <w:trHeight w:val="60"/>
        </w:trPr>
        <w:tc>
          <w:tcPr>
            <w:tcW w:w="5369" w:type="dxa"/>
            <w:tcBorders>
              <w:top w:val="nil"/>
              <w:left w:val="dotted" w:sz="8" w:space="0" w:color="auto"/>
              <w:bottom w:val="dotted" w:sz="8" w:space="0" w:color="auto"/>
              <w:right w:val="dotted" w:sz="8" w:space="0" w:color="auto"/>
            </w:tcBorders>
            <w:vAlign w:val="bottom"/>
            <w:hideMark/>
          </w:tcPr>
          <w:p w14:paraId="53186FB4"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Share-based payments</w:t>
            </w:r>
          </w:p>
        </w:tc>
        <w:tc>
          <w:tcPr>
            <w:tcW w:w="817" w:type="dxa"/>
            <w:tcBorders>
              <w:top w:val="nil"/>
              <w:left w:val="nil"/>
              <w:bottom w:val="dotted" w:sz="8" w:space="0" w:color="auto"/>
              <w:right w:val="dotted" w:sz="8" w:space="0" w:color="auto"/>
            </w:tcBorders>
            <w:vAlign w:val="bottom"/>
            <w:hideMark/>
          </w:tcPr>
          <w:p w14:paraId="6B821BAA"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[4]</w:t>
            </w:r>
          </w:p>
        </w:tc>
        <w:tc>
          <w:tcPr>
            <w:tcW w:w="1131" w:type="dxa"/>
            <w:tcBorders>
              <w:top w:val="nil"/>
              <w:left w:val="nil"/>
              <w:bottom w:val="dotted" w:sz="8" w:space="0" w:color="auto"/>
              <w:right w:val="dotted" w:sz="8" w:space="0" w:color="auto"/>
            </w:tcBorders>
          </w:tcPr>
          <w:p w14:paraId="796C2956" w14:textId="6EBADA01" w:rsidR="009413A0" w:rsidRPr="00A12757" w:rsidRDefault="00A12757" w:rsidP="009413A0">
            <w:pPr>
              <w:spacing w:after="0" w:line="207" w:lineRule="atLeast"/>
              <w:jc w:val="right"/>
              <w:rPr>
                <w:rFonts w:ascii="Arial" w:eastAsia="Times New Roman" w:hAnsi="Arial" w:cs="Arial"/>
                <w:b/>
                <w:bCs/>
                <w:color w:val="000000"/>
                <w:sz w:val="20"/>
                <w:szCs w:val="20"/>
                <w:lang w:eastAsia="en-GB"/>
              </w:rPr>
            </w:pPr>
            <w:r w:rsidRPr="00A12757">
              <w:rPr>
                <w:rFonts w:ascii="Arial" w:eastAsia="Times New Roman" w:hAnsi="Arial" w:cs="Arial"/>
                <w:b/>
                <w:bCs/>
                <w:color w:val="000000"/>
                <w:sz w:val="20"/>
                <w:szCs w:val="20"/>
                <w:lang w:eastAsia="en-GB"/>
              </w:rPr>
              <w:t>4</w:t>
            </w:r>
          </w:p>
        </w:tc>
        <w:tc>
          <w:tcPr>
            <w:tcW w:w="1131" w:type="dxa"/>
            <w:tcBorders>
              <w:top w:val="nil"/>
              <w:left w:val="nil"/>
              <w:bottom w:val="dotted" w:sz="8" w:space="0" w:color="auto"/>
              <w:right w:val="dotted" w:sz="8" w:space="0" w:color="auto"/>
            </w:tcBorders>
            <w:hideMark/>
          </w:tcPr>
          <w:p w14:paraId="457ACDB1" w14:textId="758D603A" w:rsidR="009413A0" w:rsidRPr="009413A0" w:rsidRDefault="009413A0" w:rsidP="009413A0">
            <w:pPr>
              <w:spacing w:after="0" w:line="207" w:lineRule="atLeast"/>
              <w:jc w:val="right"/>
              <w:rPr>
                <w:rFonts w:ascii="Arial" w:eastAsia="Times New Roman" w:hAnsi="Arial" w:cs="Arial"/>
                <w:color w:val="000000"/>
                <w:sz w:val="18"/>
                <w:szCs w:val="18"/>
                <w:lang w:eastAsia="en-GB"/>
              </w:rPr>
            </w:pPr>
            <w:r w:rsidRPr="009413A0">
              <w:rPr>
                <w:rFonts w:ascii="Arial" w:eastAsia="Times New Roman" w:hAnsi="Arial" w:cs="Arial"/>
                <w:color w:val="000000"/>
                <w:sz w:val="20"/>
                <w:szCs w:val="20"/>
                <w:lang w:eastAsia="en-GB"/>
              </w:rPr>
              <w:t>3</w:t>
            </w:r>
          </w:p>
        </w:tc>
        <w:tc>
          <w:tcPr>
            <w:tcW w:w="999" w:type="dxa"/>
            <w:tcBorders>
              <w:top w:val="nil"/>
              <w:left w:val="nil"/>
              <w:bottom w:val="dotted" w:sz="8" w:space="0" w:color="auto"/>
              <w:right w:val="dotted" w:sz="8" w:space="0" w:color="auto"/>
            </w:tcBorders>
            <w:vAlign w:val="bottom"/>
          </w:tcPr>
          <w:p w14:paraId="1331C61C" w14:textId="3B8D94EB" w:rsidR="009413A0" w:rsidRPr="002F44AF" w:rsidRDefault="00AD7B08" w:rsidP="009413A0">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w:t>
            </w:r>
          </w:p>
        </w:tc>
      </w:tr>
      <w:tr w:rsidR="009413A0" w:rsidRPr="002F44AF" w14:paraId="51564C69" w14:textId="77777777" w:rsidTr="009413A0">
        <w:trPr>
          <w:trHeight w:val="60"/>
        </w:trPr>
        <w:tc>
          <w:tcPr>
            <w:tcW w:w="5369" w:type="dxa"/>
            <w:tcBorders>
              <w:top w:val="nil"/>
              <w:left w:val="dotted" w:sz="8" w:space="0" w:color="auto"/>
              <w:bottom w:val="dotted" w:sz="8" w:space="0" w:color="auto"/>
              <w:right w:val="dotted" w:sz="8" w:space="0" w:color="auto"/>
            </w:tcBorders>
            <w:vAlign w:val="bottom"/>
            <w:hideMark/>
          </w:tcPr>
          <w:p w14:paraId="01468DEA" w14:textId="32B8542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Profit</w:t>
            </w:r>
            <w:r w:rsidR="00A12757">
              <w:rPr>
                <w:rFonts w:ascii="Arial" w:eastAsia="Times New Roman" w:hAnsi="Arial" w:cs="Arial"/>
                <w:color w:val="000000"/>
                <w:sz w:val="20"/>
                <w:szCs w:val="20"/>
                <w:lang w:eastAsia="en-GB"/>
              </w:rPr>
              <w:t>/loss)</w:t>
            </w:r>
            <w:r w:rsidRPr="002F44AF">
              <w:rPr>
                <w:rFonts w:ascii="Arial" w:eastAsia="Times New Roman" w:hAnsi="Arial" w:cs="Arial"/>
                <w:color w:val="000000"/>
                <w:sz w:val="20"/>
                <w:szCs w:val="20"/>
                <w:lang w:eastAsia="en-GB"/>
              </w:rPr>
              <w:t xml:space="preserve"> attributable to equity shareholders</w:t>
            </w:r>
          </w:p>
        </w:tc>
        <w:tc>
          <w:tcPr>
            <w:tcW w:w="817" w:type="dxa"/>
            <w:tcBorders>
              <w:top w:val="nil"/>
              <w:left w:val="nil"/>
              <w:bottom w:val="dotted" w:sz="8" w:space="0" w:color="auto"/>
              <w:right w:val="dotted" w:sz="8" w:space="0" w:color="auto"/>
            </w:tcBorders>
            <w:vAlign w:val="bottom"/>
            <w:hideMark/>
          </w:tcPr>
          <w:p w14:paraId="0ABF05E1" w14:textId="77777777" w:rsidR="009413A0" w:rsidRPr="002F44AF" w:rsidRDefault="009413A0" w:rsidP="009413A0">
            <w:pPr>
              <w:spacing w:after="0" w:line="207" w:lineRule="atLeast"/>
              <w:jc w:val="center"/>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tcPr>
          <w:p w14:paraId="5D51413C" w14:textId="1CF97D8F" w:rsidR="009413A0" w:rsidRPr="00A12757" w:rsidRDefault="00A12757" w:rsidP="009413A0">
            <w:pPr>
              <w:spacing w:after="0" w:line="207" w:lineRule="atLeast"/>
              <w:jc w:val="right"/>
              <w:rPr>
                <w:rFonts w:ascii="Arial" w:eastAsia="Times New Roman" w:hAnsi="Arial" w:cs="Arial"/>
                <w:b/>
                <w:bCs/>
                <w:color w:val="000000"/>
                <w:sz w:val="20"/>
                <w:szCs w:val="20"/>
                <w:lang w:eastAsia="en-GB"/>
              </w:rPr>
            </w:pPr>
            <w:r w:rsidRPr="00A12757">
              <w:rPr>
                <w:rFonts w:ascii="Arial" w:eastAsia="Times New Roman" w:hAnsi="Arial" w:cs="Arial"/>
                <w:b/>
                <w:bCs/>
                <w:color w:val="000000"/>
                <w:sz w:val="20"/>
                <w:szCs w:val="20"/>
                <w:lang w:eastAsia="en-GB"/>
              </w:rPr>
              <w:t>180</w:t>
            </w:r>
          </w:p>
        </w:tc>
        <w:tc>
          <w:tcPr>
            <w:tcW w:w="1131" w:type="dxa"/>
            <w:tcBorders>
              <w:top w:val="nil"/>
              <w:left w:val="nil"/>
              <w:bottom w:val="dotted" w:sz="8" w:space="0" w:color="auto"/>
              <w:right w:val="dotted" w:sz="8" w:space="0" w:color="auto"/>
            </w:tcBorders>
            <w:hideMark/>
          </w:tcPr>
          <w:p w14:paraId="11407E7E" w14:textId="76895750" w:rsidR="009413A0" w:rsidRPr="009413A0" w:rsidRDefault="009413A0" w:rsidP="009413A0">
            <w:pPr>
              <w:spacing w:after="0" w:line="207" w:lineRule="atLeast"/>
              <w:jc w:val="right"/>
              <w:rPr>
                <w:rFonts w:ascii="Arial" w:eastAsia="Times New Roman" w:hAnsi="Arial" w:cs="Arial"/>
                <w:color w:val="000000"/>
                <w:sz w:val="18"/>
                <w:szCs w:val="18"/>
                <w:lang w:eastAsia="en-GB"/>
              </w:rPr>
            </w:pPr>
            <w:r w:rsidRPr="009413A0">
              <w:rPr>
                <w:rFonts w:ascii="Arial" w:eastAsia="Times New Roman" w:hAnsi="Arial" w:cs="Arial"/>
                <w:color w:val="000000"/>
                <w:sz w:val="20"/>
                <w:szCs w:val="20"/>
                <w:lang w:eastAsia="en-GB"/>
              </w:rPr>
              <w:t>(178)</w:t>
            </w:r>
          </w:p>
        </w:tc>
        <w:tc>
          <w:tcPr>
            <w:tcW w:w="999" w:type="dxa"/>
            <w:tcBorders>
              <w:top w:val="nil"/>
              <w:left w:val="nil"/>
              <w:bottom w:val="dotted" w:sz="8" w:space="0" w:color="auto"/>
              <w:right w:val="dotted" w:sz="8" w:space="0" w:color="auto"/>
            </w:tcBorders>
            <w:vAlign w:val="bottom"/>
          </w:tcPr>
          <w:p w14:paraId="724161EA" w14:textId="1827A746" w:rsidR="009413A0" w:rsidRPr="002F44AF" w:rsidRDefault="00AD7B08" w:rsidP="009413A0">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(368)</w:t>
            </w:r>
          </w:p>
        </w:tc>
      </w:tr>
      <w:tr w:rsidR="009413A0" w:rsidRPr="002F44AF" w14:paraId="1A30B4E3" w14:textId="77777777" w:rsidTr="009413A0">
        <w:trPr>
          <w:trHeight w:val="60"/>
        </w:trPr>
        <w:tc>
          <w:tcPr>
            <w:tcW w:w="5369" w:type="dxa"/>
            <w:tcBorders>
              <w:top w:val="nil"/>
              <w:left w:val="dotted" w:sz="8" w:space="0" w:color="auto"/>
              <w:bottom w:val="dotted" w:sz="8" w:space="0" w:color="auto"/>
              <w:right w:val="dotted" w:sz="8" w:space="0" w:color="auto"/>
            </w:tcBorders>
            <w:vAlign w:val="bottom"/>
            <w:hideMark/>
          </w:tcPr>
          <w:p w14:paraId="76BE4277" w14:textId="77777777" w:rsidR="009413A0" w:rsidRPr="002F44AF" w:rsidRDefault="009413A0" w:rsidP="009413A0">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Closing equity shareholders' funds</w:t>
            </w:r>
          </w:p>
        </w:tc>
        <w:tc>
          <w:tcPr>
            <w:tcW w:w="817" w:type="dxa"/>
            <w:tcBorders>
              <w:top w:val="nil"/>
              <w:left w:val="nil"/>
              <w:bottom w:val="dotted" w:sz="8" w:space="0" w:color="auto"/>
              <w:right w:val="dotted" w:sz="8" w:space="0" w:color="auto"/>
            </w:tcBorders>
            <w:vAlign w:val="bottom"/>
            <w:hideMark/>
          </w:tcPr>
          <w:p w14:paraId="7C08C5C4" w14:textId="77777777"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tcPr>
          <w:p w14:paraId="7797D7D3" w14:textId="35904102" w:rsidR="009413A0" w:rsidRPr="00A12757" w:rsidRDefault="00A12757" w:rsidP="009413A0">
            <w:pPr>
              <w:spacing w:after="0" w:line="207" w:lineRule="atLeast"/>
              <w:jc w:val="right"/>
              <w:rPr>
                <w:rFonts w:ascii="Arial" w:eastAsia="Times New Roman" w:hAnsi="Arial" w:cs="Arial"/>
                <w:b/>
                <w:bCs/>
                <w:color w:val="000000"/>
                <w:sz w:val="20"/>
                <w:szCs w:val="20"/>
                <w:lang w:eastAsia="en-GB"/>
              </w:rPr>
            </w:pPr>
            <w:r w:rsidRPr="00A12757">
              <w:rPr>
                <w:rFonts w:ascii="Arial" w:eastAsia="Times New Roman" w:hAnsi="Arial" w:cs="Arial"/>
                <w:b/>
                <w:bCs/>
                <w:color w:val="000000"/>
                <w:sz w:val="20"/>
                <w:szCs w:val="20"/>
                <w:lang w:eastAsia="en-GB"/>
              </w:rPr>
              <w:t>1,</w:t>
            </w:r>
            <w:r w:rsidR="00B83DB3">
              <w:rPr>
                <w:rFonts w:ascii="Arial" w:eastAsia="Times New Roman" w:hAnsi="Arial" w:cs="Arial"/>
                <w:b/>
                <w:bCs/>
                <w:color w:val="000000"/>
                <w:sz w:val="20"/>
                <w:szCs w:val="20"/>
                <w:lang w:eastAsia="en-GB"/>
              </w:rPr>
              <w:t>452</w:t>
            </w:r>
          </w:p>
        </w:tc>
        <w:tc>
          <w:tcPr>
            <w:tcW w:w="1131" w:type="dxa"/>
            <w:tcBorders>
              <w:top w:val="nil"/>
              <w:left w:val="nil"/>
              <w:bottom w:val="dotted" w:sz="8" w:space="0" w:color="auto"/>
              <w:right w:val="dotted" w:sz="8" w:space="0" w:color="auto"/>
            </w:tcBorders>
            <w:hideMark/>
          </w:tcPr>
          <w:p w14:paraId="173FC1F3" w14:textId="08DD59A0" w:rsidR="009413A0" w:rsidRPr="002F44AF" w:rsidRDefault="009413A0" w:rsidP="009413A0">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1,455</w:t>
            </w:r>
          </w:p>
        </w:tc>
        <w:tc>
          <w:tcPr>
            <w:tcW w:w="999" w:type="dxa"/>
            <w:tcBorders>
              <w:top w:val="nil"/>
              <w:left w:val="nil"/>
              <w:bottom w:val="dotted" w:sz="8" w:space="0" w:color="auto"/>
              <w:right w:val="dotted" w:sz="8" w:space="0" w:color="auto"/>
            </w:tcBorders>
            <w:vAlign w:val="bottom"/>
          </w:tcPr>
          <w:p w14:paraId="04004A58" w14:textId="4732150E" w:rsidR="009413A0" w:rsidRPr="002F44AF" w:rsidRDefault="00AD7B08" w:rsidP="009413A0">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1,268</w:t>
            </w:r>
          </w:p>
        </w:tc>
      </w:tr>
    </w:tbl>
    <w:p w14:paraId="599834AA" w14:textId="77777777" w:rsidR="002C5B2A" w:rsidRPr="002F44AF" w:rsidRDefault="002C5B2A" w:rsidP="002C5B2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F44AF">
        <w:rPr>
          <w:rFonts w:ascii="Times New Roman" w:eastAsia="Times New Roman" w:hAnsi="Times New Roman" w:cs="Times New Roman"/>
          <w:color w:val="000000"/>
          <w:sz w:val="27"/>
          <w:szCs w:val="27"/>
          <w:lang w:eastAsia="en-GB"/>
        </w:rPr>
        <w:t> </w:t>
      </w:r>
    </w:p>
    <w:p w14:paraId="3F29538C" w14:textId="2A2C14A7" w:rsidR="000016EB" w:rsidRDefault="002C5B2A" w:rsidP="002C5B2A">
      <w:pPr>
        <w:spacing w:after="0" w:line="240" w:lineRule="atLeast"/>
        <w:rPr>
          <w:rFonts w:ascii="Arial" w:eastAsia="Times New Roman" w:hAnsi="Arial" w:cs="Arial"/>
          <w:color w:val="000000"/>
          <w:sz w:val="20"/>
          <w:szCs w:val="20"/>
          <w:lang w:eastAsia="en-GB"/>
        </w:rPr>
      </w:pPr>
      <w:r w:rsidRPr="002F44AF">
        <w:rPr>
          <w:rFonts w:ascii="Arial" w:eastAsia="Times New Roman" w:hAnsi="Arial" w:cs="Arial"/>
          <w:color w:val="000000"/>
          <w:sz w:val="20"/>
          <w:szCs w:val="20"/>
          <w:lang w:eastAsia="en-GB"/>
        </w:rPr>
        <w:t> </w:t>
      </w:r>
    </w:p>
    <w:p w14:paraId="78212301" w14:textId="77777777" w:rsidR="000016EB" w:rsidRDefault="000016EB">
      <w:pPr>
        <w:spacing w:after="160" w:line="25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2F76EA04" w14:textId="77777777"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lastRenderedPageBreak/>
        <w:t>Consolidated statement of financial position</w:t>
      </w:r>
    </w:p>
    <w:p w14:paraId="7FFC7237" w14:textId="4FDEF706"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t>As at 31 March 20</w:t>
      </w:r>
      <w:r w:rsidR="00FA1031">
        <w:rPr>
          <w:rFonts w:ascii="Arial" w:eastAsia="Times New Roman" w:hAnsi="Arial" w:cs="Arial"/>
          <w:b/>
          <w:bCs/>
          <w:color w:val="000000"/>
          <w:sz w:val="20"/>
          <w:szCs w:val="20"/>
          <w:lang w:eastAsia="en-GB"/>
        </w:rPr>
        <w:t>20</w:t>
      </w:r>
    </w:p>
    <w:p w14:paraId="12B6B539"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8717" w:type="dxa"/>
        <w:tblInd w:w="8" w:type="dxa"/>
        <w:tblCellMar>
          <w:left w:w="0" w:type="dxa"/>
          <w:right w:w="0" w:type="dxa"/>
        </w:tblCellMar>
        <w:tblLook w:val="04A0" w:firstRow="1" w:lastRow="0" w:firstColumn="1" w:lastColumn="0" w:noHBand="0" w:noVBand="1"/>
      </w:tblPr>
      <w:tblGrid>
        <w:gridCol w:w="5369"/>
        <w:gridCol w:w="1131"/>
        <w:gridCol w:w="1131"/>
        <w:gridCol w:w="1086"/>
      </w:tblGrid>
      <w:tr w:rsidR="002C5B2A" w:rsidRPr="002F44AF" w14:paraId="27241B6A" w14:textId="77777777" w:rsidTr="008D624E">
        <w:trPr>
          <w:trHeight w:val="60"/>
        </w:trPr>
        <w:tc>
          <w:tcPr>
            <w:tcW w:w="5369" w:type="dxa"/>
            <w:tcBorders>
              <w:top w:val="dotted" w:sz="8" w:space="0" w:color="auto"/>
              <w:left w:val="dotted" w:sz="8" w:space="0" w:color="auto"/>
              <w:bottom w:val="dotted" w:sz="8" w:space="0" w:color="auto"/>
              <w:right w:val="dotted" w:sz="8" w:space="0" w:color="auto"/>
            </w:tcBorders>
            <w:vAlign w:val="bottom"/>
            <w:hideMark/>
          </w:tcPr>
          <w:p w14:paraId="06530E5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131" w:type="dxa"/>
            <w:tcBorders>
              <w:top w:val="dotted" w:sz="8" w:space="0" w:color="auto"/>
              <w:left w:val="nil"/>
              <w:bottom w:val="dotted" w:sz="8" w:space="0" w:color="auto"/>
              <w:right w:val="dotted" w:sz="8" w:space="0" w:color="auto"/>
            </w:tcBorders>
            <w:hideMark/>
          </w:tcPr>
          <w:p w14:paraId="3B59259F"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As at</w:t>
            </w:r>
          </w:p>
          <w:p w14:paraId="660529B0" w14:textId="3171DDE1"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 xml:space="preserve">31 March </w:t>
            </w:r>
            <w:r w:rsidR="003A1383">
              <w:rPr>
                <w:rFonts w:ascii="Arial" w:eastAsia="Times New Roman" w:hAnsi="Arial" w:cs="Arial"/>
                <w:b/>
                <w:bCs/>
                <w:color w:val="000000"/>
                <w:sz w:val="20"/>
                <w:szCs w:val="20"/>
                <w:lang w:eastAsia="en-GB"/>
              </w:rPr>
              <w:t>20</w:t>
            </w:r>
            <w:r w:rsidRPr="002F44AF">
              <w:rPr>
                <w:rFonts w:ascii="Arial" w:eastAsia="Times New Roman" w:hAnsi="Arial" w:cs="Arial"/>
                <w:b/>
                <w:bCs/>
                <w:color w:val="000000"/>
                <w:sz w:val="20"/>
                <w:szCs w:val="20"/>
                <w:lang w:eastAsia="en-GB"/>
              </w:rPr>
              <w:t>20</w:t>
            </w:r>
          </w:p>
          <w:p w14:paraId="6F1D3879"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4F0C7D9B"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dotted" w:sz="8" w:space="0" w:color="auto"/>
            </w:tcBorders>
            <w:vAlign w:val="bottom"/>
            <w:hideMark/>
          </w:tcPr>
          <w:p w14:paraId="2D3B82B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As at</w:t>
            </w:r>
          </w:p>
          <w:p w14:paraId="5F11A2E8" w14:textId="5C2AC340"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w:t>
            </w:r>
            <w:r w:rsidR="003A1383">
              <w:rPr>
                <w:rFonts w:ascii="Arial" w:eastAsia="Times New Roman" w:hAnsi="Arial" w:cs="Arial"/>
                <w:b/>
                <w:bCs/>
                <w:color w:val="000000"/>
                <w:sz w:val="20"/>
                <w:szCs w:val="20"/>
                <w:lang w:eastAsia="en-GB"/>
              </w:rPr>
              <w:t>9</w:t>
            </w:r>
          </w:p>
          <w:p w14:paraId="42A3799E"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147D8C5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086" w:type="dxa"/>
            <w:tcBorders>
              <w:top w:val="dotted" w:sz="8" w:space="0" w:color="auto"/>
              <w:left w:val="nil"/>
              <w:bottom w:val="dotted" w:sz="8" w:space="0" w:color="auto"/>
              <w:right w:val="dotted" w:sz="8" w:space="0" w:color="auto"/>
            </w:tcBorders>
            <w:vAlign w:val="bottom"/>
            <w:hideMark/>
          </w:tcPr>
          <w:p w14:paraId="2F7E0607"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As at</w:t>
            </w:r>
          </w:p>
          <w:p w14:paraId="10BA104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30 September</w:t>
            </w:r>
          </w:p>
          <w:p w14:paraId="4D0EAC63" w14:textId="3350CE7C"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 201</w:t>
            </w:r>
            <w:r w:rsidR="003A1383">
              <w:rPr>
                <w:rFonts w:ascii="Arial" w:eastAsia="Times New Roman" w:hAnsi="Arial" w:cs="Arial"/>
                <w:color w:val="000000"/>
                <w:sz w:val="20"/>
                <w:szCs w:val="20"/>
                <w:lang w:eastAsia="en-GB"/>
              </w:rPr>
              <w:t>9</w:t>
            </w:r>
          </w:p>
          <w:p w14:paraId="46F827D5"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(Audited)</w:t>
            </w:r>
          </w:p>
          <w:p w14:paraId="391CF65D"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£'000</w:t>
            </w:r>
          </w:p>
        </w:tc>
      </w:tr>
      <w:tr w:rsidR="002C5B2A" w:rsidRPr="002F44AF" w14:paraId="1C918A62"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2F3C6BE1"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Non-current assets</w:t>
            </w:r>
          </w:p>
        </w:tc>
        <w:tc>
          <w:tcPr>
            <w:tcW w:w="1131" w:type="dxa"/>
            <w:tcBorders>
              <w:top w:val="nil"/>
              <w:left w:val="nil"/>
              <w:bottom w:val="dotted" w:sz="8" w:space="0" w:color="auto"/>
              <w:right w:val="dotted" w:sz="8" w:space="0" w:color="auto"/>
            </w:tcBorders>
            <w:hideMark/>
          </w:tcPr>
          <w:p w14:paraId="3C035D52"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681FF0A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hideMark/>
          </w:tcPr>
          <w:p w14:paraId="2C60E72E"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3A1383" w:rsidRPr="002F44AF" w14:paraId="2D62BF76"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16768DB2" w14:textId="46852529" w:rsidR="003A1383" w:rsidRPr="002F44AF" w:rsidRDefault="00B83DB3" w:rsidP="003A1383">
            <w:pPr>
              <w:spacing w:after="0" w:line="207" w:lineRule="atLeast"/>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t>Intangible and tangible assets</w:t>
            </w:r>
          </w:p>
        </w:tc>
        <w:tc>
          <w:tcPr>
            <w:tcW w:w="1131" w:type="dxa"/>
            <w:tcBorders>
              <w:top w:val="nil"/>
              <w:left w:val="nil"/>
              <w:bottom w:val="dotted" w:sz="8" w:space="0" w:color="auto"/>
              <w:right w:val="dotted" w:sz="8" w:space="0" w:color="auto"/>
            </w:tcBorders>
          </w:tcPr>
          <w:p w14:paraId="5D26B310" w14:textId="06B5A6F5"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sidRPr="00B83DB3">
              <w:rPr>
                <w:rFonts w:ascii="Arial" w:eastAsia="Times New Roman" w:hAnsi="Arial" w:cs="Arial"/>
                <w:b/>
                <w:bCs/>
                <w:color w:val="000000"/>
                <w:sz w:val="20"/>
                <w:szCs w:val="20"/>
                <w:lang w:eastAsia="en-GB"/>
              </w:rPr>
              <w:t>40</w:t>
            </w:r>
          </w:p>
        </w:tc>
        <w:tc>
          <w:tcPr>
            <w:tcW w:w="1131" w:type="dxa"/>
            <w:tcBorders>
              <w:top w:val="nil"/>
              <w:left w:val="nil"/>
              <w:bottom w:val="dotted" w:sz="8" w:space="0" w:color="auto"/>
              <w:right w:val="dotted" w:sz="8" w:space="0" w:color="auto"/>
            </w:tcBorders>
            <w:hideMark/>
          </w:tcPr>
          <w:p w14:paraId="30B05F01" w14:textId="23A451E7"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86</w:t>
            </w:r>
          </w:p>
        </w:tc>
        <w:tc>
          <w:tcPr>
            <w:tcW w:w="1086" w:type="dxa"/>
            <w:tcBorders>
              <w:top w:val="nil"/>
              <w:left w:val="nil"/>
              <w:bottom w:val="dotted" w:sz="8" w:space="0" w:color="auto"/>
              <w:right w:val="dotted" w:sz="8" w:space="0" w:color="auto"/>
            </w:tcBorders>
            <w:vAlign w:val="bottom"/>
          </w:tcPr>
          <w:p w14:paraId="79397C4E" w14:textId="32102043" w:rsidR="003A1383" w:rsidRPr="002F44AF" w:rsidRDefault="00AD7B08"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44</w:t>
            </w:r>
          </w:p>
        </w:tc>
      </w:tr>
      <w:tr w:rsidR="003A1383" w:rsidRPr="002F44AF" w14:paraId="28DBB8DA"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4057E6E9"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tcPr>
          <w:p w14:paraId="074258B5" w14:textId="0D6C07CE"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40</w:t>
            </w:r>
          </w:p>
        </w:tc>
        <w:tc>
          <w:tcPr>
            <w:tcW w:w="1131" w:type="dxa"/>
            <w:tcBorders>
              <w:top w:val="nil"/>
              <w:left w:val="nil"/>
              <w:bottom w:val="dotted" w:sz="8" w:space="0" w:color="auto"/>
              <w:right w:val="dotted" w:sz="8" w:space="0" w:color="auto"/>
            </w:tcBorders>
            <w:hideMark/>
          </w:tcPr>
          <w:p w14:paraId="1751C5FD" w14:textId="3FE30F2B"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86</w:t>
            </w:r>
          </w:p>
        </w:tc>
        <w:tc>
          <w:tcPr>
            <w:tcW w:w="1086" w:type="dxa"/>
            <w:tcBorders>
              <w:top w:val="nil"/>
              <w:left w:val="nil"/>
              <w:bottom w:val="dotted" w:sz="8" w:space="0" w:color="auto"/>
              <w:right w:val="dotted" w:sz="8" w:space="0" w:color="auto"/>
            </w:tcBorders>
            <w:vAlign w:val="bottom"/>
          </w:tcPr>
          <w:p w14:paraId="37253129" w14:textId="6DE1D1C0" w:rsidR="003A1383" w:rsidRPr="002F44AF" w:rsidRDefault="00AD7B08"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44</w:t>
            </w:r>
          </w:p>
        </w:tc>
      </w:tr>
      <w:tr w:rsidR="003A1383" w:rsidRPr="002F44AF" w14:paraId="0B93C5A2"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104F5D90"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Current assets</w:t>
            </w:r>
          </w:p>
        </w:tc>
        <w:tc>
          <w:tcPr>
            <w:tcW w:w="1131" w:type="dxa"/>
            <w:tcBorders>
              <w:top w:val="nil"/>
              <w:left w:val="nil"/>
              <w:bottom w:val="dotted" w:sz="8" w:space="0" w:color="auto"/>
              <w:right w:val="dotted" w:sz="8" w:space="0" w:color="auto"/>
            </w:tcBorders>
          </w:tcPr>
          <w:p w14:paraId="4FC51309" w14:textId="501EB79D" w:rsidR="003A1383" w:rsidRPr="00B83DB3" w:rsidRDefault="003A1383" w:rsidP="003A1383">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hideMark/>
          </w:tcPr>
          <w:p w14:paraId="5678232D" w14:textId="4B3D7F4C"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tcPr>
          <w:p w14:paraId="59EA4632" w14:textId="5D55C9D4" w:rsidR="003A1383" w:rsidRPr="002F44AF" w:rsidRDefault="003A1383" w:rsidP="003A1383">
            <w:pPr>
              <w:spacing w:after="0" w:line="207" w:lineRule="atLeast"/>
              <w:jc w:val="right"/>
              <w:rPr>
                <w:rFonts w:ascii="Arial" w:eastAsia="Times New Roman" w:hAnsi="Arial" w:cs="Arial"/>
                <w:color w:val="000000"/>
                <w:sz w:val="18"/>
                <w:szCs w:val="18"/>
                <w:lang w:eastAsia="en-GB"/>
              </w:rPr>
            </w:pPr>
          </w:p>
        </w:tc>
      </w:tr>
      <w:tr w:rsidR="003A1383" w:rsidRPr="002F44AF" w14:paraId="0641B167"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3F1186AF"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Inventories</w:t>
            </w:r>
          </w:p>
        </w:tc>
        <w:tc>
          <w:tcPr>
            <w:tcW w:w="1131" w:type="dxa"/>
            <w:tcBorders>
              <w:top w:val="nil"/>
              <w:left w:val="nil"/>
              <w:bottom w:val="dotted" w:sz="8" w:space="0" w:color="auto"/>
              <w:right w:val="dotted" w:sz="8" w:space="0" w:color="auto"/>
            </w:tcBorders>
          </w:tcPr>
          <w:p w14:paraId="1E68AF35" w14:textId="0E548FA6"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439</w:t>
            </w:r>
          </w:p>
        </w:tc>
        <w:tc>
          <w:tcPr>
            <w:tcW w:w="1131" w:type="dxa"/>
            <w:tcBorders>
              <w:top w:val="nil"/>
              <w:left w:val="nil"/>
              <w:bottom w:val="dotted" w:sz="8" w:space="0" w:color="auto"/>
              <w:right w:val="dotted" w:sz="8" w:space="0" w:color="auto"/>
            </w:tcBorders>
            <w:hideMark/>
          </w:tcPr>
          <w:p w14:paraId="3116509B" w14:textId="46DDAF42"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804</w:t>
            </w:r>
          </w:p>
        </w:tc>
        <w:tc>
          <w:tcPr>
            <w:tcW w:w="1086" w:type="dxa"/>
            <w:tcBorders>
              <w:top w:val="nil"/>
              <w:left w:val="nil"/>
              <w:bottom w:val="dotted" w:sz="8" w:space="0" w:color="auto"/>
              <w:right w:val="dotted" w:sz="8" w:space="0" w:color="auto"/>
            </w:tcBorders>
            <w:vAlign w:val="bottom"/>
          </w:tcPr>
          <w:p w14:paraId="401F27AB" w14:textId="5730C638" w:rsidR="003A1383" w:rsidRPr="002F44AF" w:rsidRDefault="00AD7B08"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783</w:t>
            </w:r>
          </w:p>
        </w:tc>
      </w:tr>
      <w:tr w:rsidR="003A1383" w:rsidRPr="002F44AF" w14:paraId="64C9B737"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213F6D93"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Trade and other receivables</w:t>
            </w:r>
          </w:p>
        </w:tc>
        <w:tc>
          <w:tcPr>
            <w:tcW w:w="1131" w:type="dxa"/>
            <w:tcBorders>
              <w:top w:val="nil"/>
              <w:left w:val="nil"/>
              <w:bottom w:val="dotted" w:sz="8" w:space="0" w:color="auto"/>
              <w:right w:val="dotted" w:sz="8" w:space="0" w:color="auto"/>
            </w:tcBorders>
          </w:tcPr>
          <w:p w14:paraId="195B59E0" w14:textId="28B28332"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697</w:t>
            </w:r>
          </w:p>
        </w:tc>
        <w:tc>
          <w:tcPr>
            <w:tcW w:w="1131" w:type="dxa"/>
            <w:tcBorders>
              <w:top w:val="nil"/>
              <w:left w:val="nil"/>
              <w:bottom w:val="dotted" w:sz="8" w:space="0" w:color="auto"/>
              <w:right w:val="dotted" w:sz="8" w:space="0" w:color="auto"/>
            </w:tcBorders>
            <w:hideMark/>
          </w:tcPr>
          <w:p w14:paraId="6093A610" w14:textId="457B1C5A"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499</w:t>
            </w:r>
          </w:p>
        </w:tc>
        <w:tc>
          <w:tcPr>
            <w:tcW w:w="1086" w:type="dxa"/>
            <w:tcBorders>
              <w:top w:val="nil"/>
              <w:left w:val="nil"/>
              <w:bottom w:val="dotted" w:sz="8" w:space="0" w:color="auto"/>
              <w:right w:val="dotted" w:sz="8" w:space="0" w:color="auto"/>
            </w:tcBorders>
            <w:vAlign w:val="bottom"/>
          </w:tcPr>
          <w:p w14:paraId="1B569CCA" w14:textId="18E1B691" w:rsidR="003A1383" w:rsidRPr="002F44AF" w:rsidRDefault="00AD7B08"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664</w:t>
            </w:r>
          </w:p>
        </w:tc>
      </w:tr>
      <w:tr w:rsidR="003A1383" w:rsidRPr="002F44AF" w14:paraId="74812CC0"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29869DE9"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Cash and cash equivalents</w:t>
            </w:r>
          </w:p>
        </w:tc>
        <w:tc>
          <w:tcPr>
            <w:tcW w:w="1131" w:type="dxa"/>
            <w:tcBorders>
              <w:top w:val="nil"/>
              <w:left w:val="nil"/>
              <w:bottom w:val="dotted" w:sz="8" w:space="0" w:color="auto"/>
              <w:right w:val="dotted" w:sz="8" w:space="0" w:color="auto"/>
            </w:tcBorders>
          </w:tcPr>
          <w:p w14:paraId="2C64C0D2" w14:textId="4D19E91D"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1,140</w:t>
            </w:r>
          </w:p>
        </w:tc>
        <w:tc>
          <w:tcPr>
            <w:tcW w:w="1131" w:type="dxa"/>
            <w:tcBorders>
              <w:top w:val="nil"/>
              <w:left w:val="nil"/>
              <w:bottom w:val="dotted" w:sz="8" w:space="0" w:color="auto"/>
              <w:right w:val="dotted" w:sz="8" w:space="0" w:color="auto"/>
            </w:tcBorders>
            <w:hideMark/>
          </w:tcPr>
          <w:p w14:paraId="30461593" w14:textId="0CB10AC8"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750</w:t>
            </w:r>
          </w:p>
        </w:tc>
        <w:tc>
          <w:tcPr>
            <w:tcW w:w="1086" w:type="dxa"/>
            <w:tcBorders>
              <w:top w:val="nil"/>
              <w:left w:val="nil"/>
              <w:bottom w:val="dotted" w:sz="8" w:space="0" w:color="auto"/>
              <w:right w:val="dotted" w:sz="8" w:space="0" w:color="auto"/>
            </w:tcBorders>
            <w:vAlign w:val="bottom"/>
          </w:tcPr>
          <w:p w14:paraId="0BB687B7" w14:textId="7287FB9D" w:rsidR="003A1383" w:rsidRPr="002F44AF" w:rsidRDefault="00AD7B08"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641</w:t>
            </w:r>
          </w:p>
        </w:tc>
      </w:tr>
      <w:tr w:rsidR="003A1383" w:rsidRPr="002F44AF" w14:paraId="4C318BFB"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1A9EC793"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tcPr>
          <w:p w14:paraId="585B15C3" w14:textId="2A4E66D4"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2,276</w:t>
            </w:r>
          </w:p>
        </w:tc>
        <w:tc>
          <w:tcPr>
            <w:tcW w:w="1131" w:type="dxa"/>
            <w:tcBorders>
              <w:top w:val="nil"/>
              <w:left w:val="nil"/>
              <w:bottom w:val="dotted" w:sz="8" w:space="0" w:color="auto"/>
              <w:right w:val="dotted" w:sz="8" w:space="0" w:color="auto"/>
            </w:tcBorders>
            <w:hideMark/>
          </w:tcPr>
          <w:p w14:paraId="395EBEFE" w14:textId="735D1EEA"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2,053</w:t>
            </w:r>
          </w:p>
        </w:tc>
        <w:tc>
          <w:tcPr>
            <w:tcW w:w="1086" w:type="dxa"/>
            <w:tcBorders>
              <w:top w:val="nil"/>
              <w:left w:val="nil"/>
              <w:bottom w:val="dotted" w:sz="8" w:space="0" w:color="auto"/>
              <w:right w:val="dotted" w:sz="8" w:space="0" w:color="auto"/>
            </w:tcBorders>
            <w:vAlign w:val="bottom"/>
          </w:tcPr>
          <w:p w14:paraId="02D1F85C" w14:textId="7A414ADA" w:rsidR="003A1383" w:rsidRPr="002F44AF" w:rsidRDefault="00AD7B08"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2,088</w:t>
            </w:r>
          </w:p>
        </w:tc>
      </w:tr>
      <w:tr w:rsidR="003A1383" w:rsidRPr="002F44AF" w14:paraId="37EACA51"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23D3FC9F"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Total assets</w:t>
            </w:r>
          </w:p>
        </w:tc>
        <w:tc>
          <w:tcPr>
            <w:tcW w:w="1131" w:type="dxa"/>
            <w:tcBorders>
              <w:top w:val="nil"/>
              <w:left w:val="nil"/>
              <w:bottom w:val="dotted" w:sz="8" w:space="0" w:color="auto"/>
              <w:right w:val="dotted" w:sz="8" w:space="0" w:color="auto"/>
            </w:tcBorders>
          </w:tcPr>
          <w:p w14:paraId="168F217A" w14:textId="634F5566"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2,316</w:t>
            </w:r>
          </w:p>
        </w:tc>
        <w:tc>
          <w:tcPr>
            <w:tcW w:w="1131" w:type="dxa"/>
            <w:tcBorders>
              <w:top w:val="nil"/>
              <w:left w:val="nil"/>
              <w:bottom w:val="dotted" w:sz="8" w:space="0" w:color="auto"/>
              <w:right w:val="dotted" w:sz="8" w:space="0" w:color="auto"/>
            </w:tcBorders>
            <w:hideMark/>
          </w:tcPr>
          <w:p w14:paraId="0C040443" w14:textId="506845FD"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2,139</w:t>
            </w:r>
          </w:p>
        </w:tc>
        <w:tc>
          <w:tcPr>
            <w:tcW w:w="1086" w:type="dxa"/>
            <w:tcBorders>
              <w:top w:val="nil"/>
              <w:left w:val="nil"/>
              <w:bottom w:val="dotted" w:sz="8" w:space="0" w:color="auto"/>
              <w:right w:val="dotted" w:sz="8" w:space="0" w:color="auto"/>
            </w:tcBorders>
            <w:vAlign w:val="bottom"/>
          </w:tcPr>
          <w:p w14:paraId="112447FF" w14:textId="26F7CAE1" w:rsidR="003A1383" w:rsidRPr="002F44AF" w:rsidRDefault="00AD7B08"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2,132</w:t>
            </w:r>
          </w:p>
        </w:tc>
      </w:tr>
      <w:tr w:rsidR="003A1383" w:rsidRPr="002F44AF" w14:paraId="7E68E35F"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4560669C"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Current liabilities</w:t>
            </w:r>
          </w:p>
        </w:tc>
        <w:tc>
          <w:tcPr>
            <w:tcW w:w="1131" w:type="dxa"/>
            <w:tcBorders>
              <w:top w:val="nil"/>
              <w:left w:val="nil"/>
              <w:bottom w:val="dotted" w:sz="8" w:space="0" w:color="auto"/>
              <w:right w:val="dotted" w:sz="8" w:space="0" w:color="auto"/>
            </w:tcBorders>
          </w:tcPr>
          <w:p w14:paraId="1E4D38B4" w14:textId="382204DD" w:rsidR="003A1383" w:rsidRPr="00B83DB3" w:rsidRDefault="003A1383" w:rsidP="003A1383">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hideMark/>
          </w:tcPr>
          <w:p w14:paraId="1385168D" w14:textId="1DEE34D4"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tcPr>
          <w:p w14:paraId="73BEEBCC" w14:textId="330F2F25" w:rsidR="003A1383" w:rsidRPr="002F44AF" w:rsidRDefault="003A1383" w:rsidP="003A1383">
            <w:pPr>
              <w:spacing w:after="0" w:line="207" w:lineRule="atLeast"/>
              <w:jc w:val="right"/>
              <w:rPr>
                <w:rFonts w:ascii="Arial" w:eastAsia="Times New Roman" w:hAnsi="Arial" w:cs="Arial"/>
                <w:color w:val="000000"/>
                <w:sz w:val="18"/>
                <w:szCs w:val="18"/>
                <w:lang w:eastAsia="en-GB"/>
              </w:rPr>
            </w:pPr>
          </w:p>
        </w:tc>
      </w:tr>
      <w:tr w:rsidR="003A1383" w:rsidRPr="002F44AF" w14:paraId="39BAA71E"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18E7B3DE"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Trade and other payables</w:t>
            </w:r>
          </w:p>
        </w:tc>
        <w:tc>
          <w:tcPr>
            <w:tcW w:w="1131" w:type="dxa"/>
            <w:tcBorders>
              <w:top w:val="nil"/>
              <w:left w:val="nil"/>
              <w:bottom w:val="dotted" w:sz="8" w:space="0" w:color="auto"/>
              <w:right w:val="dotted" w:sz="8" w:space="0" w:color="auto"/>
            </w:tcBorders>
          </w:tcPr>
          <w:p w14:paraId="0BEC04F9" w14:textId="273EA01B"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832</w:t>
            </w:r>
          </w:p>
        </w:tc>
        <w:tc>
          <w:tcPr>
            <w:tcW w:w="1131" w:type="dxa"/>
            <w:tcBorders>
              <w:top w:val="nil"/>
              <w:left w:val="nil"/>
              <w:bottom w:val="dotted" w:sz="8" w:space="0" w:color="auto"/>
              <w:right w:val="dotted" w:sz="8" w:space="0" w:color="auto"/>
            </w:tcBorders>
            <w:hideMark/>
          </w:tcPr>
          <w:p w14:paraId="78877635" w14:textId="3F705DB1"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646</w:t>
            </w:r>
          </w:p>
        </w:tc>
        <w:tc>
          <w:tcPr>
            <w:tcW w:w="1086" w:type="dxa"/>
            <w:tcBorders>
              <w:top w:val="nil"/>
              <w:left w:val="nil"/>
              <w:bottom w:val="dotted" w:sz="8" w:space="0" w:color="auto"/>
              <w:right w:val="dotted" w:sz="8" w:space="0" w:color="auto"/>
            </w:tcBorders>
            <w:vAlign w:val="bottom"/>
          </w:tcPr>
          <w:p w14:paraId="7FCEC078" w14:textId="3D421521" w:rsidR="003A1383" w:rsidRPr="002F44AF" w:rsidRDefault="00AD7B08"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848</w:t>
            </w:r>
          </w:p>
        </w:tc>
      </w:tr>
      <w:tr w:rsidR="003A1383" w:rsidRPr="002F44AF" w14:paraId="5A2E560E"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48A9F68D"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Non-current liabilities</w:t>
            </w:r>
          </w:p>
        </w:tc>
        <w:tc>
          <w:tcPr>
            <w:tcW w:w="1131" w:type="dxa"/>
            <w:tcBorders>
              <w:top w:val="nil"/>
              <w:left w:val="nil"/>
              <w:bottom w:val="dotted" w:sz="8" w:space="0" w:color="auto"/>
              <w:right w:val="dotted" w:sz="8" w:space="0" w:color="auto"/>
            </w:tcBorders>
          </w:tcPr>
          <w:p w14:paraId="3B645218" w14:textId="7A910A08" w:rsidR="003A1383" w:rsidRPr="00B83DB3" w:rsidRDefault="003A1383" w:rsidP="003A1383">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hideMark/>
          </w:tcPr>
          <w:p w14:paraId="12AE3884" w14:textId="773A3EFB"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tcPr>
          <w:p w14:paraId="40BAD29B" w14:textId="050AC5E2" w:rsidR="003A1383" w:rsidRPr="002F44AF" w:rsidRDefault="003A1383" w:rsidP="003A1383">
            <w:pPr>
              <w:spacing w:after="0" w:line="207" w:lineRule="atLeast"/>
              <w:jc w:val="right"/>
              <w:rPr>
                <w:rFonts w:ascii="Arial" w:eastAsia="Times New Roman" w:hAnsi="Arial" w:cs="Arial"/>
                <w:color w:val="000000"/>
                <w:sz w:val="18"/>
                <w:szCs w:val="18"/>
                <w:lang w:eastAsia="en-GB"/>
              </w:rPr>
            </w:pPr>
          </w:p>
        </w:tc>
      </w:tr>
      <w:tr w:rsidR="003A1383" w:rsidRPr="002F44AF" w14:paraId="001CCC4B"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3EA83772"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Provisions for liabilities and charges</w:t>
            </w:r>
          </w:p>
        </w:tc>
        <w:tc>
          <w:tcPr>
            <w:tcW w:w="1131" w:type="dxa"/>
            <w:tcBorders>
              <w:top w:val="nil"/>
              <w:left w:val="nil"/>
              <w:bottom w:val="dotted" w:sz="8" w:space="0" w:color="auto"/>
              <w:right w:val="dotted" w:sz="8" w:space="0" w:color="auto"/>
            </w:tcBorders>
          </w:tcPr>
          <w:p w14:paraId="5663DA84" w14:textId="68C0DD2C"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32</w:t>
            </w:r>
          </w:p>
        </w:tc>
        <w:tc>
          <w:tcPr>
            <w:tcW w:w="1131" w:type="dxa"/>
            <w:tcBorders>
              <w:top w:val="nil"/>
              <w:left w:val="nil"/>
              <w:bottom w:val="dotted" w:sz="8" w:space="0" w:color="auto"/>
              <w:right w:val="dotted" w:sz="8" w:space="0" w:color="auto"/>
            </w:tcBorders>
            <w:hideMark/>
          </w:tcPr>
          <w:p w14:paraId="4FC2EC71" w14:textId="5C6D543C"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38</w:t>
            </w:r>
          </w:p>
        </w:tc>
        <w:tc>
          <w:tcPr>
            <w:tcW w:w="1086" w:type="dxa"/>
            <w:tcBorders>
              <w:top w:val="nil"/>
              <w:left w:val="nil"/>
              <w:bottom w:val="dotted" w:sz="8" w:space="0" w:color="auto"/>
              <w:right w:val="dotted" w:sz="8" w:space="0" w:color="auto"/>
            </w:tcBorders>
            <w:vAlign w:val="bottom"/>
          </w:tcPr>
          <w:p w14:paraId="03F599E0" w14:textId="7664FD76" w:rsidR="003A1383" w:rsidRPr="002F44AF" w:rsidRDefault="00AD7B08"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w:t>
            </w:r>
          </w:p>
        </w:tc>
      </w:tr>
      <w:tr w:rsidR="003A1383" w:rsidRPr="002F44AF" w14:paraId="18BBD8C5"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6BD60946"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Total liabilities</w:t>
            </w:r>
          </w:p>
        </w:tc>
        <w:tc>
          <w:tcPr>
            <w:tcW w:w="1131" w:type="dxa"/>
            <w:tcBorders>
              <w:top w:val="nil"/>
              <w:left w:val="nil"/>
              <w:bottom w:val="dotted" w:sz="8" w:space="0" w:color="auto"/>
              <w:right w:val="dotted" w:sz="8" w:space="0" w:color="auto"/>
            </w:tcBorders>
          </w:tcPr>
          <w:p w14:paraId="0D2EACD5" w14:textId="5C8A3A62"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864</w:t>
            </w:r>
          </w:p>
        </w:tc>
        <w:tc>
          <w:tcPr>
            <w:tcW w:w="1131" w:type="dxa"/>
            <w:tcBorders>
              <w:top w:val="nil"/>
              <w:left w:val="nil"/>
              <w:bottom w:val="dotted" w:sz="8" w:space="0" w:color="auto"/>
              <w:right w:val="dotted" w:sz="8" w:space="0" w:color="auto"/>
            </w:tcBorders>
            <w:hideMark/>
          </w:tcPr>
          <w:p w14:paraId="52A9268B" w14:textId="246EF2AC"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684</w:t>
            </w:r>
          </w:p>
        </w:tc>
        <w:tc>
          <w:tcPr>
            <w:tcW w:w="1086" w:type="dxa"/>
            <w:tcBorders>
              <w:top w:val="nil"/>
              <w:left w:val="nil"/>
              <w:bottom w:val="dotted" w:sz="8" w:space="0" w:color="auto"/>
              <w:right w:val="dotted" w:sz="8" w:space="0" w:color="auto"/>
            </w:tcBorders>
            <w:vAlign w:val="bottom"/>
          </w:tcPr>
          <w:p w14:paraId="3E38810E" w14:textId="5BB1D4B9" w:rsidR="003A1383" w:rsidRPr="002F44AF" w:rsidRDefault="00AD7B08"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864</w:t>
            </w:r>
          </w:p>
        </w:tc>
      </w:tr>
      <w:tr w:rsidR="003A1383" w:rsidRPr="002F44AF" w14:paraId="7D6CCBC3"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7977B982"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assets</w:t>
            </w:r>
          </w:p>
        </w:tc>
        <w:tc>
          <w:tcPr>
            <w:tcW w:w="1131" w:type="dxa"/>
            <w:tcBorders>
              <w:top w:val="nil"/>
              <w:left w:val="nil"/>
              <w:bottom w:val="dotted" w:sz="8" w:space="0" w:color="auto"/>
              <w:right w:val="dotted" w:sz="8" w:space="0" w:color="auto"/>
            </w:tcBorders>
          </w:tcPr>
          <w:p w14:paraId="0114960F" w14:textId="28259981"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1,452</w:t>
            </w:r>
          </w:p>
        </w:tc>
        <w:tc>
          <w:tcPr>
            <w:tcW w:w="1131" w:type="dxa"/>
            <w:tcBorders>
              <w:top w:val="nil"/>
              <w:left w:val="nil"/>
              <w:bottom w:val="dotted" w:sz="8" w:space="0" w:color="auto"/>
              <w:right w:val="dotted" w:sz="8" w:space="0" w:color="auto"/>
            </w:tcBorders>
            <w:hideMark/>
          </w:tcPr>
          <w:p w14:paraId="0DCD6B3C" w14:textId="4570C648"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1,455</w:t>
            </w:r>
          </w:p>
        </w:tc>
        <w:tc>
          <w:tcPr>
            <w:tcW w:w="1086" w:type="dxa"/>
            <w:tcBorders>
              <w:top w:val="nil"/>
              <w:left w:val="nil"/>
              <w:bottom w:val="dotted" w:sz="8" w:space="0" w:color="auto"/>
              <w:right w:val="dotted" w:sz="8" w:space="0" w:color="auto"/>
            </w:tcBorders>
            <w:vAlign w:val="bottom"/>
          </w:tcPr>
          <w:p w14:paraId="1C978F9A" w14:textId="60385B8F" w:rsidR="003A1383" w:rsidRPr="002F44AF" w:rsidRDefault="00AD7B08"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1,268</w:t>
            </w:r>
          </w:p>
        </w:tc>
      </w:tr>
      <w:tr w:rsidR="003A1383" w:rsidRPr="002F44AF" w14:paraId="2F738F6F"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51D204F7"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Equity</w:t>
            </w:r>
          </w:p>
        </w:tc>
        <w:tc>
          <w:tcPr>
            <w:tcW w:w="1131" w:type="dxa"/>
            <w:tcBorders>
              <w:top w:val="nil"/>
              <w:left w:val="nil"/>
              <w:bottom w:val="dotted" w:sz="8" w:space="0" w:color="auto"/>
              <w:right w:val="dotted" w:sz="8" w:space="0" w:color="auto"/>
            </w:tcBorders>
          </w:tcPr>
          <w:p w14:paraId="01156967" w14:textId="0EDDCF7C" w:rsidR="003A1383" w:rsidRPr="00B83DB3" w:rsidRDefault="003A1383" w:rsidP="003A1383">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hideMark/>
          </w:tcPr>
          <w:p w14:paraId="2D793696" w14:textId="76DFD35E"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1086" w:type="dxa"/>
            <w:tcBorders>
              <w:top w:val="nil"/>
              <w:left w:val="nil"/>
              <w:bottom w:val="dotted" w:sz="8" w:space="0" w:color="auto"/>
              <w:right w:val="dotted" w:sz="8" w:space="0" w:color="auto"/>
            </w:tcBorders>
            <w:vAlign w:val="bottom"/>
          </w:tcPr>
          <w:p w14:paraId="1E2FEBBE" w14:textId="59C90ADE" w:rsidR="003A1383" w:rsidRPr="002F44AF" w:rsidRDefault="003A1383" w:rsidP="003A1383">
            <w:pPr>
              <w:spacing w:after="0" w:line="207" w:lineRule="atLeast"/>
              <w:jc w:val="right"/>
              <w:rPr>
                <w:rFonts w:ascii="Arial" w:eastAsia="Times New Roman" w:hAnsi="Arial" w:cs="Arial"/>
                <w:color w:val="000000"/>
                <w:sz w:val="18"/>
                <w:szCs w:val="18"/>
                <w:lang w:eastAsia="en-GB"/>
              </w:rPr>
            </w:pPr>
          </w:p>
        </w:tc>
      </w:tr>
      <w:tr w:rsidR="003A1383" w:rsidRPr="002F44AF" w14:paraId="06E20831"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7F526861"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Share capital</w:t>
            </w:r>
          </w:p>
        </w:tc>
        <w:tc>
          <w:tcPr>
            <w:tcW w:w="1131" w:type="dxa"/>
            <w:tcBorders>
              <w:top w:val="nil"/>
              <w:left w:val="nil"/>
              <w:bottom w:val="dotted" w:sz="8" w:space="0" w:color="auto"/>
              <w:right w:val="dotted" w:sz="8" w:space="0" w:color="auto"/>
            </w:tcBorders>
          </w:tcPr>
          <w:p w14:paraId="177B4BA3" w14:textId="2E596C05"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1,363</w:t>
            </w:r>
          </w:p>
        </w:tc>
        <w:tc>
          <w:tcPr>
            <w:tcW w:w="1131" w:type="dxa"/>
            <w:tcBorders>
              <w:top w:val="nil"/>
              <w:left w:val="nil"/>
              <w:bottom w:val="dotted" w:sz="8" w:space="0" w:color="auto"/>
              <w:right w:val="dotted" w:sz="8" w:space="0" w:color="auto"/>
            </w:tcBorders>
            <w:hideMark/>
          </w:tcPr>
          <w:p w14:paraId="701167C8" w14:textId="7724009E"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1,363</w:t>
            </w:r>
          </w:p>
        </w:tc>
        <w:tc>
          <w:tcPr>
            <w:tcW w:w="1086" w:type="dxa"/>
            <w:tcBorders>
              <w:top w:val="nil"/>
              <w:left w:val="nil"/>
              <w:bottom w:val="dotted" w:sz="8" w:space="0" w:color="auto"/>
              <w:right w:val="dotted" w:sz="8" w:space="0" w:color="auto"/>
            </w:tcBorders>
            <w:vAlign w:val="bottom"/>
          </w:tcPr>
          <w:p w14:paraId="66C74D01" w14:textId="73BBD94D" w:rsidR="003A1383" w:rsidRPr="002F44AF" w:rsidRDefault="00AD7B08"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1,363</w:t>
            </w:r>
          </w:p>
        </w:tc>
      </w:tr>
      <w:tr w:rsidR="003A1383" w:rsidRPr="002F44AF" w14:paraId="54CE1F82"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2860F7B3"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Share premium account</w:t>
            </w:r>
          </w:p>
        </w:tc>
        <w:tc>
          <w:tcPr>
            <w:tcW w:w="1131" w:type="dxa"/>
            <w:tcBorders>
              <w:top w:val="nil"/>
              <w:left w:val="nil"/>
              <w:bottom w:val="dotted" w:sz="8" w:space="0" w:color="auto"/>
              <w:right w:val="dotted" w:sz="8" w:space="0" w:color="auto"/>
            </w:tcBorders>
          </w:tcPr>
          <w:p w14:paraId="2B0B54D6" w14:textId="404442E4"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8,328</w:t>
            </w:r>
          </w:p>
        </w:tc>
        <w:tc>
          <w:tcPr>
            <w:tcW w:w="1131" w:type="dxa"/>
            <w:tcBorders>
              <w:top w:val="nil"/>
              <w:left w:val="nil"/>
              <w:bottom w:val="dotted" w:sz="8" w:space="0" w:color="auto"/>
              <w:right w:val="dotted" w:sz="8" w:space="0" w:color="auto"/>
            </w:tcBorders>
            <w:hideMark/>
          </w:tcPr>
          <w:p w14:paraId="6CC2622B" w14:textId="11D869B9"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8</w:t>
            </w:r>
            <w:r w:rsidR="00AD7B08">
              <w:rPr>
                <w:rFonts w:ascii="Arial" w:eastAsia="Times New Roman" w:hAnsi="Arial" w:cs="Arial"/>
                <w:color w:val="000000"/>
                <w:sz w:val="20"/>
                <w:szCs w:val="20"/>
                <w:lang w:eastAsia="en-GB"/>
              </w:rPr>
              <w:t>,</w:t>
            </w:r>
            <w:r w:rsidRPr="003A1383">
              <w:rPr>
                <w:rFonts w:ascii="Arial" w:eastAsia="Times New Roman" w:hAnsi="Arial" w:cs="Arial"/>
                <w:color w:val="000000"/>
                <w:sz w:val="20"/>
                <w:szCs w:val="20"/>
                <w:lang w:eastAsia="en-GB"/>
              </w:rPr>
              <w:t>328</w:t>
            </w:r>
          </w:p>
        </w:tc>
        <w:tc>
          <w:tcPr>
            <w:tcW w:w="1086" w:type="dxa"/>
            <w:tcBorders>
              <w:top w:val="nil"/>
              <w:left w:val="nil"/>
              <w:bottom w:val="dotted" w:sz="8" w:space="0" w:color="auto"/>
              <w:right w:val="dotted" w:sz="8" w:space="0" w:color="auto"/>
            </w:tcBorders>
            <w:vAlign w:val="bottom"/>
          </w:tcPr>
          <w:p w14:paraId="783CEFF2" w14:textId="13BDA211" w:rsidR="003A1383" w:rsidRPr="002F44AF" w:rsidRDefault="00AD7B08"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8,328</w:t>
            </w:r>
          </w:p>
        </w:tc>
      </w:tr>
      <w:tr w:rsidR="003A1383" w:rsidRPr="002F44AF" w14:paraId="4455F8F7" w14:textId="77777777" w:rsidTr="003A1383">
        <w:trPr>
          <w:trHeight w:val="41"/>
        </w:trPr>
        <w:tc>
          <w:tcPr>
            <w:tcW w:w="5369" w:type="dxa"/>
            <w:tcBorders>
              <w:top w:val="nil"/>
              <w:left w:val="dotted" w:sz="8" w:space="0" w:color="auto"/>
              <w:bottom w:val="dotted" w:sz="8" w:space="0" w:color="auto"/>
              <w:right w:val="dotted" w:sz="8" w:space="0" w:color="auto"/>
            </w:tcBorders>
            <w:vAlign w:val="bottom"/>
            <w:hideMark/>
          </w:tcPr>
          <w:p w14:paraId="029B9D2A"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Retained earnings</w:t>
            </w:r>
          </w:p>
        </w:tc>
        <w:tc>
          <w:tcPr>
            <w:tcW w:w="1131" w:type="dxa"/>
            <w:tcBorders>
              <w:top w:val="nil"/>
              <w:left w:val="nil"/>
              <w:bottom w:val="dotted" w:sz="8" w:space="0" w:color="auto"/>
              <w:right w:val="dotted" w:sz="8" w:space="0" w:color="auto"/>
            </w:tcBorders>
          </w:tcPr>
          <w:p w14:paraId="26E90D0E" w14:textId="3B605EDA"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(8,239)</w:t>
            </w:r>
          </w:p>
        </w:tc>
        <w:tc>
          <w:tcPr>
            <w:tcW w:w="1131" w:type="dxa"/>
            <w:tcBorders>
              <w:top w:val="nil"/>
              <w:left w:val="nil"/>
              <w:bottom w:val="dotted" w:sz="8" w:space="0" w:color="auto"/>
              <w:right w:val="dotted" w:sz="8" w:space="0" w:color="auto"/>
            </w:tcBorders>
            <w:hideMark/>
          </w:tcPr>
          <w:p w14:paraId="55A69FCA" w14:textId="2070CDF4"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(8,236)</w:t>
            </w:r>
          </w:p>
        </w:tc>
        <w:tc>
          <w:tcPr>
            <w:tcW w:w="1086" w:type="dxa"/>
            <w:tcBorders>
              <w:top w:val="nil"/>
              <w:left w:val="nil"/>
              <w:bottom w:val="dotted" w:sz="8" w:space="0" w:color="auto"/>
              <w:right w:val="dotted" w:sz="8" w:space="0" w:color="auto"/>
            </w:tcBorders>
            <w:vAlign w:val="bottom"/>
          </w:tcPr>
          <w:p w14:paraId="744CE0B8" w14:textId="4D13B97A" w:rsidR="003A1383" w:rsidRPr="002F44AF" w:rsidRDefault="006E64A6"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(8,423)</w:t>
            </w:r>
          </w:p>
        </w:tc>
      </w:tr>
      <w:tr w:rsidR="003A1383" w:rsidRPr="002F44AF" w14:paraId="62631B76"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313CFAF7"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Equity shareholders' funds</w:t>
            </w:r>
          </w:p>
        </w:tc>
        <w:tc>
          <w:tcPr>
            <w:tcW w:w="1131" w:type="dxa"/>
            <w:tcBorders>
              <w:top w:val="nil"/>
              <w:left w:val="nil"/>
              <w:bottom w:val="dotted" w:sz="8" w:space="0" w:color="auto"/>
              <w:right w:val="dotted" w:sz="8" w:space="0" w:color="auto"/>
            </w:tcBorders>
          </w:tcPr>
          <w:p w14:paraId="0B74AA67" w14:textId="2E9EF513" w:rsidR="003A1383" w:rsidRPr="00B83DB3" w:rsidRDefault="00B83DB3" w:rsidP="003A1383">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1,452</w:t>
            </w:r>
          </w:p>
        </w:tc>
        <w:tc>
          <w:tcPr>
            <w:tcW w:w="1131" w:type="dxa"/>
            <w:tcBorders>
              <w:top w:val="nil"/>
              <w:left w:val="nil"/>
              <w:bottom w:val="dotted" w:sz="8" w:space="0" w:color="auto"/>
              <w:right w:val="dotted" w:sz="8" w:space="0" w:color="auto"/>
            </w:tcBorders>
            <w:hideMark/>
          </w:tcPr>
          <w:p w14:paraId="15B9EEA3" w14:textId="0293B010"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1,455</w:t>
            </w:r>
          </w:p>
        </w:tc>
        <w:tc>
          <w:tcPr>
            <w:tcW w:w="1086" w:type="dxa"/>
            <w:tcBorders>
              <w:top w:val="nil"/>
              <w:left w:val="nil"/>
              <w:bottom w:val="dotted" w:sz="8" w:space="0" w:color="auto"/>
              <w:right w:val="dotted" w:sz="8" w:space="0" w:color="auto"/>
            </w:tcBorders>
            <w:vAlign w:val="bottom"/>
          </w:tcPr>
          <w:p w14:paraId="1904A60E" w14:textId="37A42804" w:rsidR="003A1383" w:rsidRPr="002F44AF" w:rsidRDefault="006E64A6"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1,268</w:t>
            </w:r>
          </w:p>
        </w:tc>
      </w:tr>
    </w:tbl>
    <w:p w14:paraId="0F215670"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0CFDAEA1" w14:textId="4EEB7EFD" w:rsidR="008D624E" w:rsidRDefault="002C5B2A" w:rsidP="002C5B2A">
      <w:pPr>
        <w:spacing w:after="0" w:line="240" w:lineRule="auto"/>
        <w:rPr>
          <w:rFonts w:ascii="Times New Roman" w:eastAsia="Times New Roman" w:hAnsi="Times New Roman" w:cs="Times New Roman"/>
          <w:color w:val="000000"/>
          <w:sz w:val="27"/>
          <w:szCs w:val="27"/>
          <w:lang w:eastAsia="en-GB"/>
        </w:rPr>
      </w:pPr>
      <w:r w:rsidRPr="002F44AF">
        <w:rPr>
          <w:rFonts w:ascii="Times New Roman" w:eastAsia="Times New Roman" w:hAnsi="Times New Roman" w:cs="Times New Roman"/>
          <w:color w:val="000000"/>
          <w:sz w:val="27"/>
          <w:szCs w:val="27"/>
          <w:lang w:eastAsia="en-GB"/>
        </w:rPr>
        <w:t> </w:t>
      </w:r>
    </w:p>
    <w:p w14:paraId="3B738F85" w14:textId="77777777" w:rsidR="008D624E" w:rsidRDefault="008D624E">
      <w:pPr>
        <w:spacing w:after="160" w:line="259"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br w:type="page"/>
      </w:r>
    </w:p>
    <w:p w14:paraId="7B2102D8" w14:textId="77777777" w:rsidR="002C5B2A" w:rsidRPr="008D624E" w:rsidRDefault="002C5B2A" w:rsidP="002C5B2A">
      <w:pPr>
        <w:spacing w:after="0" w:line="253" w:lineRule="atLeast"/>
        <w:rPr>
          <w:rFonts w:ascii="Calibri" w:eastAsia="Times New Roman" w:hAnsi="Calibri" w:cs="Calibri"/>
          <w:b/>
          <w:bCs/>
          <w:color w:val="000000"/>
          <w:lang w:eastAsia="en-GB"/>
        </w:rPr>
      </w:pPr>
      <w:r w:rsidRPr="008D624E">
        <w:rPr>
          <w:rFonts w:ascii="Arial" w:eastAsia="Times New Roman" w:hAnsi="Arial" w:cs="Arial"/>
          <w:b/>
          <w:bCs/>
          <w:color w:val="000000"/>
          <w:sz w:val="20"/>
          <w:szCs w:val="20"/>
          <w:lang w:eastAsia="en-GB"/>
        </w:rPr>
        <w:lastRenderedPageBreak/>
        <w:t>Consolidated cash flow statement</w:t>
      </w:r>
    </w:p>
    <w:p w14:paraId="3C7706B0" w14:textId="676BA077" w:rsidR="002C5B2A" w:rsidRPr="008D624E" w:rsidRDefault="002C5B2A" w:rsidP="002C5B2A">
      <w:pPr>
        <w:spacing w:after="0" w:line="253" w:lineRule="atLeast"/>
        <w:rPr>
          <w:rFonts w:ascii="Calibri" w:eastAsia="Times New Roman" w:hAnsi="Calibri" w:cs="Calibri"/>
          <w:b/>
          <w:bCs/>
          <w:color w:val="000000"/>
          <w:lang w:eastAsia="en-GB"/>
        </w:rPr>
      </w:pPr>
      <w:r w:rsidRPr="008D624E">
        <w:rPr>
          <w:rFonts w:ascii="Arial" w:eastAsia="Times New Roman" w:hAnsi="Arial" w:cs="Arial"/>
          <w:b/>
          <w:bCs/>
          <w:color w:val="000000"/>
          <w:sz w:val="20"/>
          <w:szCs w:val="20"/>
          <w:lang w:eastAsia="en-GB"/>
        </w:rPr>
        <w:t>For the six months ended 31 March 20</w:t>
      </w:r>
      <w:r w:rsidR="003A1383">
        <w:rPr>
          <w:rFonts w:ascii="Arial" w:eastAsia="Times New Roman" w:hAnsi="Arial" w:cs="Arial"/>
          <w:b/>
          <w:bCs/>
          <w:color w:val="000000"/>
          <w:sz w:val="20"/>
          <w:szCs w:val="20"/>
          <w:lang w:eastAsia="en-GB"/>
        </w:rPr>
        <w:t>20</w:t>
      </w:r>
    </w:p>
    <w:p w14:paraId="3D486F45"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8630" w:type="dxa"/>
        <w:tblInd w:w="8" w:type="dxa"/>
        <w:tblCellMar>
          <w:left w:w="0" w:type="dxa"/>
          <w:right w:w="0" w:type="dxa"/>
        </w:tblCellMar>
        <w:tblLook w:val="04A0" w:firstRow="1" w:lastRow="0" w:firstColumn="1" w:lastColumn="0" w:noHBand="0" w:noVBand="1"/>
      </w:tblPr>
      <w:tblGrid>
        <w:gridCol w:w="5369"/>
        <w:gridCol w:w="1131"/>
        <w:gridCol w:w="1131"/>
        <w:gridCol w:w="999"/>
      </w:tblGrid>
      <w:tr w:rsidR="002C5B2A" w:rsidRPr="002F44AF" w14:paraId="17500BC5" w14:textId="77777777" w:rsidTr="008D624E">
        <w:trPr>
          <w:trHeight w:val="660"/>
        </w:trPr>
        <w:tc>
          <w:tcPr>
            <w:tcW w:w="5369" w:type="dxa"/>
            <w:tcBorders>
              <w:top w:val="dotted" w:sz="8" w:space="0" w:color="auto"/>
              <w:left w:val="dotted" w:sz="8" w:space="0" w:color="auto"/>
              <w:bottom w:val="dotted" w:sz="8" w:space="0" w:color="auto"/>
              <w:right w:val="dotted" w:sz="8" w:space="0" w:color="auto"/>
            </w:tcBorders>
            <w:vAlign w:val="bottom"/>
            <w:hideMark/>
          </w:tcPr>
          <w:p w14:paraId="1EE18209"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131" w:type="dxa"/>
            <w:tcBorders>
              <w:top w:val="dotted" w:sz="8" w:space="0" w:color="auto"/>
              <w:left w:val="nil"/>
              <w:bottom w:val="dotted" w:sz="8" w:space="0" w:color="auto"/>
              <w:right w:val="dotted" w:sz="8" w:space="0" w:color="auto"/>
            </w:tcBorders>
            <w:hideMark/>
          </w:tcPr>
          <w:p w14:paraId="4C46503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407F0EC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65663A0F" w14:textId="2EF31EDB"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w:t>
            </w:r>
            <w:r w:rsidR="003A1383">
              <w:rPr>
                <w:rFonts w:ascii="Arial" w:eastAsia="Times New Roman" w:hAnsi="Arial" w:cs="Arial"/>
                <w:b/>
                <w:bCs/>
                <w:color w:val="000000"/>
                <w:sz w:val="20"/>
                <w:szCs w:val="20"/>
                <w:lang w:eastAsia="en-GB"/>
              </w:rPr>
              <w:t>20</w:t>
            </w:r>
          </w:p>
          <w:p w14:paraId="1DCE4EE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0EB4EA21"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dotted" w:sz="8" w:space="0" w:color="auto"/>
            </w:tcBorders>
            <w:vAlign w:val="bottom"/>
            <w:hideMark/>
          </w:tcPr>
          <w:p w14:paraId="4D86A60A"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Six months</w:t>
            </w:r>
          </w:p>
          <w:p w14:paraId="419CB45C"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ended</w:t>
            </w:r>
          </w:p>
          <w:p w14:paraId="33C00863" w14:textId="7E996229"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31 March 201</w:t>
            </w:r>
            <w:r w:rsidR="003A1383">
              <w:rPr>
                <w:rFonts w:ascii="Arial" w:eastAsia="Times New Roman" w:hAnsi="Arial" w:cs="Arial"/>
                <w:b/>
                <w:bCs/>
                <w:color w:val="000000"/>
                <w:sz w:val="20"/>
                <w:szCs w:val="20"/>
                <w:lang w:eastAsia="en-GB"/>
              </w:rPr>
              <w:t>9</w:t>
            </w:r>
          </w:p>
          <w:p w14:paraId="690E8512"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(Unaudited)</w:t>
            </w:r>
          </w:p>
          <w:p w14:paraId="6D13EBD6"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b/>
                <w:bCs/>
                <w:color w:val="000000"/>
                <w:sz w:val="20"/>
                <w:szCs w:val="20"/>
                <w:lang w:eastAsia="en-GB"/>
              </w:rPr>
              <w:t>£'000</w:t>
            </w:r>
          </w:p>
        </w:tc>
        <w:tc>
          <w:tcPr>
            <w:tcW w:w="999" w:type="dxa"/>
            <w:tcBorders>
              <w:top w:val="dotted" w:sz="8" w:space="0" w:color="auto"/>
              <w:left w:val="nil"/>
              <w:bottom w:val="dotted" w:sz="8" w:space="0" w:color="auto"/>
              <w:right w:val="dotted" w:sz="8" w:space="0" w:color="auto"/>
            </w:tcBorders>
            <w:vAlign w:val="bottom"/>
            <w:hideMark/>
          </w:tcPr>
          <w:p w14:paraId="304B6AF4"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Year ended</w:t>
            </w:r>
          </w:p>
          <w:p w14:paraId="5852D001"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30 September</w:t>
            </w:r>
          </w:p>
          <w:p w14:paraId="7C02AD7F" w14:textId="0C6A3B51"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 201</w:t>
            </w:r>
            <w:r w:rsidR="003A1383">
              <w:rPr>
                <w:rFonts w:ascii="Arial" w:eastAsia="Times New Roman" w:hAnsi="Arial" w:cs="Arial"/>
                <w:color w:val="000000"/>
                <w:sz w:val="20"/>
                <w:szCs w:val="20"/>
                <w:lang w:eastAsia="en-GB"/>
              </w:rPr>
              <w:t>9</w:t>
            </w:r>
          </w:p>
          <w:p w14:paraId="0DC6DA00"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(Audited)</w:t>
            </w:r>
          </w:p>
          <w:p w14:paraId="20A5E507" w14:textId="77777777" w:rsidR="002C5B2A" w:rsidRPr="002F44AF" w:rsidRDefault="002C5B2A" w:rsidP="00A00BE9">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20"/>
                <w:szCs w:val="20"/>
                <w:lang w:eastAsia="en-GB"/>
              </w:rPr>
              <w:t>£'000</w:t>
            </w:r>
          </w:p>
        </w:tc>
      </w:tr>
      <w:tr w:rsidR="002C5B2A" w:rsidRPr="002F44AF" w14:paraId="10EBE404" w14:textId="77777777" w:rsidTr="008D624E">
        <w:trPr>
          <w:trHeight w:val="60"/>
        </w:trPr>
        <w:tc>
          <w:tcPr>
            <w:tcW w:w="5369" w:type="dxa"/>
            <w:tcBorders>
              <w:top w:val="nil"/>
              <w:left w:val="dotted" w:sz="8" w:space="0" w:color="auto"/>
              <w:bottom w:val="dotted" w:sz="8" w:space="0" w:color="auto"/>
              <w:right w:val="dotted" w:sz="8" w:space="0" w:color="auto"/>
            </w:tcBorders>
            <w:vAlign w:val="bottom"/>
            <w:hideMark/>
          </w:tcPr>
          <w:p w14:paraId="74E05051" w14:textId="77777777" w:rsidR="002C5B2A" w:rsidRPr="002F44AF" w:rsidRDefault="002C5B2A" w:rsidP="00A00BE9">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Cash flows from operating activities</w:t>
            </w:r>
          </w:p>
        </w:tc>
        <w:tc>
          <w:tcPr>
            <w:tcW w:w="1131" w:type="dxa"/>
            <w:tcBorders>
              <w:top w:val="nil"/>
              <w:left w:val="nil"/>
              <w:bottom w:val="dotted" w:sz="8" w:space="0" w:color="auto"/>
              <w:right w:val="dotted" w:sz="8" w:space="0" w:color="auto"/>
            </w:tcBorders>
            <w:hideMark/>
          </w:tcPr>
          <w:p w14:paraId="5C7625C4"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vAlign w:val="bottom"/>
            <w:hideMark/>
          </w:tcPr>
          <w:p w14:paraId="3B93B13C"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hideMark/>
          </w:tcPr>
          <w:p w14:paraId="2C032D41" w14:textId="77777777" w:rsidR="002C5B2A" w:rsidRPr="002F44AF" w:rsidRDefault="002C5B2A" w:rsidP="00A00BE9">
            <w:pPr>
              <w:spacing w:after="0" w:line="207" w:lineRule="atLeast"/>
              <w:jc w:val="righ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r>
      <w:tr w:rsidR="003A1383" w:rsidRPr="002F44AF" w14:paraId="3CED1DBE"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44973948" w14:textId="1A64536F" w:rsidR="003A1383" w:rsidRPr="00145BF1" w:rsidRDefault="003A1383" w:rsidP="003A1383">
            <w:pPr>
              <w:spacing w:after="0" w:line="207" w:lineRule="atLeast"/>
              <w:rPr>
                <w:rFonts w:ascii="Arial" w:eastAsia="Times New Roman" w:hAnsi="Arial" w:cs="Arial"/>
                <w:color w:val="000000"/>
                <w:sz w:val="18"/>
                <w:szCs w:val="18"/>
                <w:lang w:eastAsia="en-GB"/>
              </w:rPr>
            </w:pPr>
            <w:r w:rsidRPr="00145BF1">
              <w:rPr>
                <w:rFonts w:ascii="Arial" w:eastAsia="Times New Roman" w:hAnsi="Arial" w:cs="Arial"/>
                <w:color w:val="000000"/>
                <w:sz w:val="20"/>
                <w:szCs w:val="20"/>
                <w:lang w:eastAsia="en-GB"/>
              </w:rPr>
              <w:t>Operating profit</w:t>
            </w:r>
            <w:r w:rsidR="00145BF1" w:rsidRPr="00145BF1">
              <w:rPr>
                <w:rFonts w:ascii="Arial" w:eastAsia="Times New Roman" w:hAnsi="Arial" w:cs="Arial"/>
                <w:color w:val="000000"/>
                <w:sz w:val="20"/>
                <w:szCs w:val="20"/>
                <w:lang w:eastAsia="en-GB"/>
              </w:rPr>
              <w:t>/(loss)</w:t>
            </w:r>
          </w:p>
        </w:tc>
        <w:tc>
          <w:tcPr>
            <w:tcW w:w="1131" w:type="dxa"/>
            <w:tcBorders>
              <w:top w:val="nil"/>
              <w:left w:val="nil"/>
              <w:bottom w:val="dotted" w:sz="8" w:space="0" w:color="auto"/>
              <w:right w:val="dotted" w:sz="8" w:space="0" w:color="auto"/>
            </w:tcBorders>
          </w:tcPr>
          <w:p w14:paraId="787D5219" w14:textId="097A2124"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179</w:t>
            </w:r>
          </w:p>
        </w:tc>
        <w:tc>
          <w:tcPr>
            <w:tcW w:w="1131" w:type="dxa"/>
            <w:tcBorders>
              <w:top w:val="nil"/>
              <w:left w:val="nil"/>
              <w:bottom w:val="dotted" w:sz="8" w:space="0" w:color="auto"/>
              <w:right w:val="dotted" w:sz="8" w:space="0" w:color="auto"/>
            </w:tcBorders>
            <w:hideMark/>
          </w:tcPr>
          <w:p w14:paraId="7AC38C34" w14:textId="1F9F2080"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(178)</w:t>
            </w:r>
          </w:p>
        </w:tc>
        <w:tc>
          <w:tcPr>
            <w:tcW w:w="999" w:type="dxa"/>
            <w:tcBorders>
              <w:top w:val="nil"/>
              <w:left w:val="nil"/>
              <w:bottom w:val="dotted" w:sz="8" w:space="0" w:color="auto"/>
              <w:right w:val="dotted" w:sz="8" w:space="0" w:color="auto"/>
            </w:tcBorders>
            <w:vAlign w:val="bottom"/>
          </w:tcPr>
          <w:p w14:paraId="3AE6A24C" w14:textId="7DD85FDE"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(403)</w:t>
            </w:r>
          </w:p>
        </w:tc>
      </w:tr>
      <w:tr w:rsidR="003A1383" w:rsidRPr="002F44AF" w14:paraId="35117C81"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6F9ADD95" w14:textId="77777777" w:rsidR="003A1383" w:rsidRPr="00145BF1" w:rsidRDefault="003A1383" w:rsidP="003A1383">
            <w:pPr>
              <w:spacing w:after="0" w:line="207" w:lineRule="atLeast"/>
              <w:rPr>
                <w:rFonts w:ascii="Arial" w:eastAsia="Times New Roman" w:hAnsi="Arial" w:cs="Arial"/>
                <w:color w:val="000000"/>
                <w:sz w:val="18"/>
                <w:szCs w:val="18"/>
                <w:lang w:eastAsia="en-GB"/>
              </w:rPr>
            </w:pPr>
            <w:r w:rsidRPr="00145BF1">
              <w:rPr>
                <w:rFonts w:ascii="Arial" w:eastAsia="Times New Roman" w:hAnsi="Arial" w:cs="Arial"/>
                <w:b/>
                <w:bCs/>
                <w:color w:val="000000"/>
                <w:sz w:val="20"/>
                <w:szCs w:val="20"/>
                <w:lang w:eastAsia="en-GB"/>
              </w:rPr>
              <w:t>Adjustments for:</w:t>
            </w:r>
          </w:p>
        </w:tc>
        <w:tc>
          <w:tcPr>
            <w:tcW w:w="1131" w:type="dxa"/>
            <w:tcBorders>
              <w:top w:val="nil"/>
              <w:left w:val="nil"/>
              <w:bottom w:val="dotted" w:sz="8" w:space="0" w:color="auto"/>
              <w:right w:val="dotted" w:sz="8" w:space="0" w:color="auto"/>
            </w:tcBorders>
          </w:tcPr>
          <w:p w14:paraId="23339BFC" w14:textId="69877B6E" w:rsidR="003A1383" w:rsidRPr="0055528A" w:rsidRDefault="003A1383" w:rsidP="003A1383">
            <w:pPr>
              <w:spacing w:after="0" w:line="207" w:lineRule="atLeast"/>
              <w:jc w:val="right"/>
              <w:rPr>
                <w:rFonts w:ascii="Arial" w:eastAsia="Times New Roman" w:hAnsi="Arial" w:cs="Arial"/>
                <w:b/>
                <w:bCs/>
                <w:color w:val="000000"/>
                <w:sz w:val="18"/>
                <w:szCs w:val="18"/>
                <w:lang w:eastAsia="en-GB"/>
              </w:rPr>
            </w:pPr>
          </w:p>
        </w:tc>
        <w:tc>
          <w:tcPr>
            <w:tcW w:w="1131" w:type="dxa"/>
            <w:tcBorders>
              <w:top w:val="nil"/>
              <w:left w:val="nil"/>
              <w:bottom w:val="dotted" w:sz="8" w:space="0" w:color="auto"/>
              <w:right w:val="dotted" w:sz="8" w:space="0" w:color="auto"/>
            </w:tcBorders>
            <w:hideMark/>
          </w:tcPr>
          <w:p w14:paraId="0DF3D9F5" w14:textId="5F66E95F"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tcPr>
          <w:p w14:paraId="5EFD4373" w14:textId="5BBBB054" w:rsidR="003A1383" w:rsidRPr="002F44AF" w:rsidRDefault="003A1383" w:rsidP="003A1383">
            <w:pPr>
              <w:spacing w:after="0" w:line="207" w:lineRule="atLeast"/>
              <w:jc w:val="right"/>
              <w:rPr>
                <w:rFonts w:ascii="Arial" w:eastAsia="Times New Roman" w:hAnsi="Arial" w:cs="Arial"/>
                <w:color w:val="000000"/>
                <w:sz w:val="18"/>
                <w:szCs w:val="18"/>
                <w:lang w:eastAsia="en-GB"/>
              </w:rPr>
            </w:pPr>
          </w:p>
        </w:tc>
      </w:tr>
      <w:tr w:rsidR="003A1383" w:rsidRPr="002F44AF" w14:paraId="1E9B5D56"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7AE21FA6"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Depreciation</w:t>
            </w:r>
          </w:p>
        </w:tc>
        <w:tc>
          <w:tcPr>
            <w:tcW w:w="1131" w:type="dxa"/>
            <w:tcBorders>
              <w:top w:val="nil"/>
              <w:left w:val="nil"/>
              <w:bottom w:val="dotted" w:sz="8" w:space="0" w:color="auto"/>
              <w:right w:val="dotted" w:sz="8" w:space="0" w:color="auto"/>
            </w:tcBorders>
          </w:tcPr>
          <w:p w14:paraId="4FE52BC0" w14:textId="152CB27E"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11</w:t>
            </w:r>
          </w:p>
        </w:tc>
        <w:tc>
          <w:tcPr>
            <w:tcW w:w="1131" w:type="dxa"/>
            <w:tcBorders>
              <w:top w:val="nil"/>
              <w:left w:val="nil"/>
              <w:bottom w:val="dotted" w:sz="8" w:space="0" w:color="auto"/>
              <w:right w:val="dotted" w:sz="8" w:space="0" w:color="auto"/>
            </w:tcBorders>
            <w:hideMark/>
          </w:tcPr>
          <w:p w14:paraId="25CC35C0" w14:textId="333DAF67"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12</w:t>
            </w:r>
          </w:p>
        </w:tc>
        <w:tc>
          <w:tcPr>
            <w:tcW w:w="999" w:type="dxa"/>
            <w:tcBorders>
              <w:top w:val="nil"/>
              <w:left w:val="nil"/>
              <w:bottom w:val="dotted" w:sz="8" w:space="0" w:color="auto"/>
              <w:right w:val="dotted" w:sz="8" w:space="0" w:color="auto"/>
            </w:tcBorders>
            <w:vAlign w:val="bottom"/>
          </w:tcPr>
          <w:p w14:paraId="2636C7CA" w14:textId="26BFBE5F"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w:t>
            </w:r>
          </w:p>
        </w:tc>
      </w:tr>
      <w:tr w:rsidR="003A1383" w:rsidRPr="002F44AF" w14:paraId="5C4833DD"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4958749F"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Impairment of inventories</w:t>
            </w:r>
          </w:p>
        </w:tc>
        <w:tc>
          <w:tcPr>
            <w:tcW w:w="1131" w:type="dxa"/>
            <w:tcBorders>
              <w:top w:val="nil"/>
              <w:left w:val="nil"/>
              <w:bottom w:val="dotted" w:sz="8" w:space="0" w:color="auto"/>
              <w:right w:val="dotted" w:sz="8" w:space="0" w:color="auto"/>
            </w:tcBorders>
          </w:tcPr>
          <w:p w14:paraId="617EE36F" w14:textId="16F2409A"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14</w:t>
            </w:r>
          </w:p>
        </w:tc>
        <w:tc>
          <w:tcPr>
            <w:tcW w:w="1131" w:type="dxa"/>
            <w:tcBorders>
              <w:top w:val="nil"/>
              <w:left w:val="nil"/>
              <w:bottom w:val="dotted" w:sz="8" w:space="0" w:color="auto"/>
              <w:right w:val="dotted" w:sz="8" w:space="0" w:color="auto"/>
            </w:tcBorders>
            <w:hideMark/>
          </w:tcPr>
          <w:p w14:paraId="5BE7F3D6" w14:textId="7A4E0A41"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19</w:t>
            </w:r>
          </w:p>
        </w:tc>
        <w:tc>
          <w:tcPr>
            <w:tcW w:w="999" w:type="dxa"/>
            <w:tcBorders>
              <w:top w:val="nil"/>
              <w:left w:val="nil"/>
              <w:bottom w:val="dotted" w:sz="8" w:space="0" w:color="auto"/>
              <w:right w:val="dotted" w:sz="8" w:space="0" w:color="auto"/>
            </w:tcBorders>
            <w:vAlign w:val="bottom"/>
          </w:tcPr>
          <w:p w14:paraId="6C8242C3" w14:textId="5C5111CF"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13</w:t>
            </w:r>
          </w:p>
        </w:tc>
      </w:tr>
      <w:tr w:rsidR="003A1383" w:rsidRPr="002F44AF" w14:paraId="77CFD8E5"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58FA9D65" w14:textId="77777777" w:rsidR="003A1383" w:rsidRPr="0055528A" w:rsidRDefault="003A1383" w:rsidP="003A1383">
            <w:pPr>
              <w:spacing w:after="0" w:line="207" w:lineRule="atLeast"/>
              <w:rPr>
                <w:rFonts w:ascii="Arial" w:eastAsia="Times New Roman" w:hAnsi="Arial" w:cs="Arial"/>
                <w:color w:val="000000"/>
                <w:sz w:val="18"/>
                <w:szCs w:val="18"/>
                <w:lang w:eastAsia="en-GB"/>
              </w:rPr>
            </w:pPr>
            <w:r w:rsidRPr="0055528A">
              <w:rPr>
                <w:rFonts w:ascii="Arial" w:eastAsia="Times New Roman" w:hAnsi="Arial" w:cs="Arial"/>
                <w:color w:val="000000"/>
                <w:sz w:val="20"/>
                <w:szCs w:val="20"/>
                <w:lang w:eastAsia="en-GB"/>
              </w:rPr>
              <w:t>Increase/(decrease) in provision for warranty</w:t>
            </w:r>
          </w:p>
        </w:tc>
        <w:tc>
          <w:tcPr>
            <w:tcW w:w="1131" w:type="dxa"/>
            <w:tcBorders>
              <w:top w:val="nil"/>
              <w:left w:val="nil"/>
              <w:bottom w:val="dotted" w:sz="8" w:space="0" w:color="auto"/>
              <w:right w:val="dotted" w:sz="8" w:space="0" w:color="auto"/>
            </w:tcBorders>
          </w:tcPr>
          <w:p w14:paraId="21750C0D" w14:textId="64204BA5"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16</w:t>
            </w:r>
          </w:p>
        </w:tc>
        <w:tc>
          <w:tcPr>
            <w:tcW w:w="1131" w:type="dxa"/>
            <w:tcBorders>
              <w:top w:val="nil"/>
              <w:left w:val="nil"/>
              <w:bottom w:val="dotted" w:sz="8" w:space="0" w:color="auto"/>
              <w:right w:val="dotted" w:sz="8" w:space="0" w:color="auto"/>
            </w:tcBorders>
            <w:hideMark/>
          </w:tcPr>
          <w:p w14:paraId="225C18D4" w14:textId="6B86B94B"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3</w:t>
            </w:r>
          </w:p>
        </w:tc>
        <w:tc>
          <w:tcPr>
            <w:tcW w:w="999" w:type="dxa"/>
            <w:tcBorders>
              <w:top w:val="nil"/>
              <w:left w:val="nil"/>
              <w:bottom w:val="dotted" w:sz="8" w:space="0" w:color="auto"/>
              <w:right w:val="dotted" w:sz="8" w:space="0" w:color="auto"/>
            </w:tcBorders>
            <w:vAlign w:val="bottom"/>
          </w:tcPr>
          <w:p w14:paraId="42314925" w14:textId="021AF6D5"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(19)</w:t>
            </w:r>
          </w:p>
        </w:tc>
      </w:tr>
      <w:tr w:rsidR="003A1383" w:rsidRPr="002F44AF" w14:paraId="560721A9"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7BC0BBD4" w14:textId="77777777" w:rsidR="003A1383" w:rsidRPr="008B1A6C" w:rsidRDefault="003A1383" w:rsidP="003A1383">
            <w:pPr>
              <w:spacing w:after="0" w:line="207" w:lineRule="atLeast"/>
              <w:rPr>
                <w:rFonts w:ascii="Arial" w:eastAsia="Times New Roman" w:hAnsi="Arial" w:cs="Arial"/>
                <w:color w:val="000000"/>
                <w:sz w:val="18"/>
                <w:szCs w:val="18"/>
                <w:highlight w:val="yellow"/>
                <w:lang w:eastAsia="en-GB"/>
              </w:rPr>
            </w:pPr>
            <w:r w:rsidRPr="0055528A">
              <w:rPr>
                <w:rFonts w:ascii="Arial" w:eastAsia="Times New Roman" w:hAnsi="Arial" w:cs="Arial"/>
                <w:color w:val="000000"/>
                <w:sz w:val="20"/>
                <w:szCs w:val="20"/>
                <w:lang w:eastAsia="en-GB"/>
              </w:rPr>
              <w:t>Decrease in inventories</w:t>
            </w:r>
          </w:p>
        </w:tc>
        <w:tc>
          <w:tcPr>
            <w:tcW w:w="1131" w:type="dxa"/>
            <w:tcBorders>
              <w:top w:val="nil"/>
              <w:left w:val="nil"/>
              <w:bottom w:val="dotted" w:sz="8" w:space="0" w:color="auto"/>
              <w:right w:val="dotted" w:sz="8" w:space="0" w:color="auto"/>
            </w:tcBorders>
          </w:tcPr>
          <w:p w14:paraId="2BF2B0EC" w14:textId="598A95F9"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3</w:t>
            </w:r>
            <w:r w:rsidR="006951D5">
              <w:rPr>
                <w:rFonts w:ascii="Arial" w:eastAsia="Times New Roman" w:hAnsi="Arial" w:cs="Arial"/>
                <w:b/>
                <w:bCs/>
                <w:color w:val="000000"/>
                <w:sz w:val="18"/>
                <w:szCs w:val="18"/>
                <w:lang w:eastAsia="en-GB"/>
              </w:rPr>
              <w:t>30</w:t>
            </w:r>
          </w:p>
        </w:tc>
        <w:tc>
          <w:tcPr>
            <w:tcW w:w="1131" w:type="dxa"/>
            <w:tcBorders>
              <w:top w:val="nil"/>
              <w:left w:val="nil"/>
              <w:bottom w:val="dotted" w:sz="8" w:space="0" w:color="auto"/>
              <w:right w:val="dotted" w:sz="8" w:space="0" w:color="auto"/>
            </w:tcBorders>
            <w:hideMark/>
          </w:tcPr>
          <w:p w14:paraId="187A1FC9" w14:textId="7442AF85"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115</w:t>
            </w:r>
          </w:p>
        </w:tc>
        <w:tc>
          <w:tcPr>
            <w:tcW w:w="999" w:type="dxa"/>
            <w:tcBorders>
              <w:top w:val="nil"/>
              <w:left w:val="nil"/>
              <w:bottom w:val="dotted" w:sz="8" w:space="0" w:color="auto"/>
              <w:right w:val="dotted" w:sz="8" w:space="0" w:color="auto"/>
            </w:tcBorders>
            <w:vAlign w:val="bottom"/>
          </w:tcPr>
          <w:p w14:paraId="20221187" w14:textId="7BCAF479"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142</w:t>
            </w:r>
          </w:p>
        </w:tc>
      </w:tr>
      <w:tr w:rsidR="003A1383" w:rsidRPr="002F44AF" w14:paraId="644D8976" w14:textId="77777777" w:rsidTr="003A1383">
        <w:tc>
          <w:tcPr>
            <w:tcW w:w="5369" w:type="dxa"/>
            <w:tcBorders>
              <w:top w:val="nil"/>
              <w:left w:val="dotted" w:sz="8" w:space="0" w:color="auto"/>
              <w:bottom w:val="dotted" w:sz="8" w:space="0" w:color="auto"/>
              <w:right w:val="dotted" w:sz="8" w:space="0" w:color="auto"/>
            </w:tcBorders>
            <w:vAlign w:val="bottom"/>
            <w:hideMark/>
          </w:tcPr>
          <w:p w14:paraId="6AA34462" w14:textId="2210FDFB" w:rsidR="003A1383" w:rsidRPr="008B1A6C" w:rsidRDefault="0055528A" w:rsidP="003A1383">
            <w:pPr>
              <w:spacing w:after="0" w:line="207" w:lineRule="atLeast"/>
              <w:rPr>
                <w:rFonts w:ascii="Arial" w:eastAsia="Times New Roman" w:hAnsi="Arial" w:cs="Arial"/>
                <w:color w:val="000000"/>
                <w:sz w:val="18"/>
                <w:szCs w:val="18"/>
                <w:highlight w:val="yellow"/>
                <w:lang w:eastAsia="en-GB"/>
              </w:rPr>
            </w:pPr>
            <w:r w:rsidRPr="00145BF1">
              <w:rPr>
                <w:rFonts w:ascii="Arial" w:eastAsia="Times New Roman" w:hAnsi="Arial" w:cs="Arial"/>
                <w:color w:val="000000"/>
                <w:sz w:val="20"/>
                <w:szCs w:val="20"/>
                <w:lang w:eastAsia="en-GB"/>
              </w:rPr>
              <w:t>Increase/(d</w:t>
            </w:r>
            <w:r w:rsidR="003A1383" w:rsidRPr="00145BF1">
              <w:rPr>
                <w:rFonts w:ascii="Arial" w:eastAsia="Times New Roman" w:hAnsi="Arial" w:cs="Arial"/>
                <w:color w:val="000000"/>
                <w:sz w:val="20"/>
                <w:szCs w:val="20"/>
                <w:lang w:eastAsia="en-GB"/>
              </w:rPr>
              <w:t>ecrease</w:t>
            </w:r>
            <w:r w:rsidRPr="00145BF1">
              <w:rPr>
                <w:rFonts w:ascii="Arial" w:eastAsia="Times New Roman" w:hAnsi="Arial" w:cs="Arial"/>
                <w:color w:val="000000"/>
                <w:sz w:val="20"/>
                <w:szCs w:val="20"/>
                <w:lang w:eastAsia="en-GB"/>
              </w:rPr>
              <w:t>)</w:t>
            </w:r>
            <w:r w:rsidR="003A1383" w:rsidRPr="00145BF1">
              <w:rPr>
                <w:rFonts w:ascii="Arial" w:eastAsia="Times New Roman" w:hAnsi="Arial" w:cs="Arial"/>
                <w:color w:val="000000"/>
                <w:sz w:val="20"/>
                <w:szCs w:val="20"/>
                <w:lang w:eastAsia="en-GB"/>
              </w:rPr>
              <w:t xml:space="preserve"> in trade and other receivables</w:t>
            </w:r>
          </w:p>
        </w:tc>
        <w:tc>
          <w:tcPr>
            <w:tcW w:w="1131" w:type="dxa"/>
            <w:tcBorders>
              <w:top w:val="nil"/>
              <w:left w:val="nil"/>
              <w:bottom w:val="dotted" w:sz="8" w:space="0" w:color="auto"/>
              <w:right w:val="dotted" w:sz="8" w:space="0" w:color="auto"/>
            </w:tcBorders>
          </w:tcPr>
          <w:p w14:paraId="14834456" w14:textId="0F4DE90C"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(143</w:t>
            </w:r>
            <w:r w:rsidR="006951D5">
              <w:rPr>
                <w:rFonts w:ascii="Arial" w:eastAsia="Times New Roman" w:hAnsi="Arial" w:cs="Arial"/>
                <w:b/>
                <w:bCs/>
                <w:color w:val="000000"/>
                <w:sz w:val="18"/>
                <w:szCs w:val="18"/>
                <w:lang w:eastAsia="en-GB"/>
              </w:rPr>
              <w:t>)</w:t>
            </w:r>
          </w:p>
        </w:tc>
        <w:tc>
          <w:tcPr>
            <w:tcW w:w="1131" w:type="dxa"/>
            <w:tcBorders>
              <w:top w:val="nil"/>
              <w:left w:val="nil"/>
              <w:bottom w:val="dotted" w:sz="8" w:space="0" w:color="auto"/>
              <w:right w:val="dotted" w:sz="8" w:space="0" w:color="auto"/>
            </w:tcBorders>
            <w:hideMark/>
          </w:tcPr>
          <w:p w14:paraId="0AE15DD4" w14:textId="6F442E43"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237</w:t>
            </w:r>
          </w:p>
        </w:tc>
        <w:tc>
          <w:tcPr>
            <w:tcW w:w="999" w:type="dxa"/>
            <w:tcBorders>
              <w:top w:val="nil"/>
              <w:left w:val="nil"/>
              <w:bottom w:val="dotted" w:sz="8" w:space="0" w:color="auto"/>
              <w:right w:val="dotted" w:sz="8" w:space="0" w:color="auto"/>
            </w:tcBorders>
            <w:vAlign w:val="bottom"/>
          </w:tcPr>
          <w:p w14:paraId="02D9458B" w14:textId="3A724E14"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120</w:t>
            </w:r>
          </w:p>
        </w:tc>
      </w:tr>
      <w:tr w:rsidR="003A1383" w:rsidRPr="002F44AF" w14:paraId="519B8424" w14:textId="77777777" w:rsidTr="003A1383">
        <w:trPr>
          <w:trHeight w:val="50"/>
        </w:trPr>
        <w:tc>
          <w:tcPr>
            <w:tcW w:w="5369" w:type="dxa"/>
            <w:tcBorders>
              <w:top w:val="nil"/>
              <w:left w:val="dotted" w:sz="8" w:space="0" w:color="auto"/>
              <w:bottom w:val="dotted" w:sz="8" w:space="0" w:color="auto"/>
              <w:right w:val="dotted" w:sz="8" w:space="0" w:color="auto"/>
            </w:tcBorders>
            <w:vAlign w:val="bottom"/>
            <w:hideMark/>
          </w:tcPr>
          <w:p w14:paraId="0D9F54E8" w14:textId="2C52D958" w:rsidR="003A1383" w:rsidRPr="008B1A6C" w:rsidRDefault="006951D5" w:rsidP="003A1383">
            <w:pPr>
              <w:spacing w:after="0" w:line="207" w:lineRule="atLeast"/>
              <w:rPr>
                <w:rFonts w:ascii="Arial" w:eastAsia="Times New Roman" w:hAnsi="Arial" w:cs="Arial"/>
                <w:color w:val="000000"/>
                <w:sz w:val="18"/>
                <w:szCs w:val="18"/>
                <w:highlight w:val="yellow"/>
                <w:lang w:eastAsia="en-GB"/>
              </w:rPr>
            </w:pPr>
            <w:r w:rsidRPr="006951D5">
              <w:rPr>
                <w:rFonts w:ascii="Arial" w:eastAsia="Times New Roman" w:hAnsi="Arial" w:cs="Arial"/>
                <w:color w:val="000000"/>
                <w:sz w:val="20"/>
                <w:szCs w:val="20"/>
                <w:lang w:eastAsia="en-GB"/>
              </w:rPr>
              <w:t>Increase/(d</w:t>
            </w:r>
            <w:r w:rsidR="003A1383" w:rsidRPr="006951D5">
              <w:rPr>
                <w:rFonts w:ascii="Arial" w:eastAsia="Times New Roman" w:hAnsi="Arial" w:cs="Arial"/>
                <w:color w:val="000000"/>
                <w:sz w:val="20"/>
                <w:szCs w:val="20"/>
                <w:lang w:eastAsia="en-GB"/>
              </w:rPr>
              <w:t>ecrease) in trade and other payables</w:t>
            </w:r>
          </w:p>
        </w:tc>
        <w:tc>
          <w:tcPr>
            <w:tcW w:w="1131" w:type="dxa"/>
            <w:tcBorders>
              <w:top w:val="nil"/>
              <w:left w:val="nil"/>
              <w:bottom w:val="dotted" w:sz="8" w:space="0" w:color="auto"/>
              <w:right w:val="dotted" w:sz="8" w:space="0" w:color="auto"/>
            </w:tcBorders>
          </w:tcPr>
          <w:p w14:paraId="3488F504" w14:textId="3F6CEC3B" w:rsidR="003A1383" w:rsidRPr="0055528A" w:rsidRDefault="006951D5"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29</w:t>
            </w:r>
          </w:p>
        </w:tc>
        <w:tc>
          <w:tcPr>
            <w:tcW w:w="1131" w:type="dxa"/>
            <w:tcBorders>
              <w:top w:val="nil"/>
              <w:left w:val="nil"/>
              <w:bottom w:val="dotted" w:sz="8" w:space="0" w:color="auto"/>
              <w:right w:val="dotted" w:sz="8" w:space="0" w:color="auto"/>
            </w:tcBorders>
            <w:hideMark/>
          </w:tcPr>
          <w:p w14:paraId="052C5ECB" w14:textId="62778672"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(264)</w:t>
            </w:r>
          </w:p>
        </w:tc>
        <w:tc>
          <w:tcPr>
            <w:tcW w:w="999" w:type="dxa"/>
            <w:tcBorders>
              <w:top w:val="nil"/>
              <w:left w:val="nil"/>
              <w:bottom w:val="dotted" w:sz="8" w:space="0" w:color="auto"/>
              <w:right w:val="dotted" w:sz="8" w:space="0" w:color="auto"/>
            </w:tcBorders>
            <w:vAlign w:val="bottom"/>
          </w:tcPr>
          <w:p w14:paraId="123D380A" w14:textId="4AEA6E0F"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(62)</w:t>
            </w:r>
          </w:p>
        </w:tc>
      </w:tr>
      <w:tr w:rsidR="003A1383" w:rsidRPr="002F44AF" w14:paraId="0065FFA2"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56292EDF"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Share-based payment charge</w:t>
            </w:r>
          </w:p>
        </w:tc>
        <w:tc>
          <w:tcPr>
            <w:tcW w:w="1131" w:type="dxa"/>
            <w:tcBorders>
              <w:top w:val="nil"/>
              <w:left w:val="nil"/>
              <w:bottom w:val="dotted" w:sz="8" w:space="0" w:color="auto"/>
              <w:right w:val="dotted" w:sz="8" w:space="0" w:color="auto"/>
            </w:tcBorders>
          </w:tcPr>
          <w:p w14:paraId="04F7FA08" w14:textId="00EC5B15"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w:t>
            </w:r>
          </w:p>
        </w:tc>
        <w:tc>
          <w:tcPr>
            <w:tcW w:w="1131" w:type="dxa"/>
            <w:tcBorders>
              <w:top w:val="nil"/>
              <w:left w:val="nil"/>
              <w:bottom w:val="dotted" w:sz="8" w:space="0" w:color="auto"/>
              <w:right w:val="dotted" w:sz="8" w:space="0" w:color="auto"/>
            </w:tcBorders>
            <w:hideMark/>
          </w:tcPr>
          <w:p w14:paraId="383FB04A" w14:textId="70DA19E4"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3</w:t>
            </w:r>
          </w:p>
        </w:tc>
        <w:tc>
          <w:tcPr>
            <w:tcW w:w="999" w:type="dxa"/>
            <w:tcBorders>
              <w:top w:val="nil"/>
              <w:left w:val="nil"/>
              <w:bottom w:val="dotted" w:sz="8" w:space="0" w:color="auto"/>
              <w:right w:val="dotted" w:sz="8" w:space="0" w:color="auto"/>
            </w:tcBorders>
            <w:vAlign w:val="bottom"/>
          </w:tcPr>
          <w:p w14:paraId="7E5AE73D" w14:textId="326CEF64"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w:t>
            </w:r>
          </w:p>
        </w:tc>
      </w:tr>
      <w:tr w:rsidR="003A1383" w:rsidRPr="002F44AF" w14:paraId="14E3DA21"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640C8FB0"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cash used in operating activities</w:t>
            </w:r>
          </w:p>
        </w:tc>
        <w:tc>
          <w:tcPr>
            <w:tcW w:w="1131" w:type="dxa"/>
            <w:tcBorders>
              <w:top w:val="nil"/>
              <w:left w:val="nil"/>
              <w:bottom w:val="dotted" w:sz="8" w:space="0" w:color="auto"/>
              <w:right w:val="dotted" w:sz="8" w:space="0" w:color="auto"/>
            </w:tcBorders>
          </w:tcPr>
          <w:p w14:paraId="50F148BA" w14:textId="3ED54785"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440</w:t>
            </w:r>
          </w:p>
        </w:tc>
        <w:tc>
          <w:tcPr>
            <w:tcW w:w="1131" w:type="dxa"/>
            <w:tcBorders>
              <w:top w:val="nil"/>
              <w:left w:val="nil"/>
              <w:bottom w:val="dotted" w:sz="8" w:space="0" w:color="auto"/>
              <w:right w:val="dotted" w:sz="8" w:space="0" w:color="auto"/>
            </w:tcBorders>
            <w:hideMark/>
          </w:tcPr>
          <w:p w14:paraId="537FDE1D" w14:textId="40CCB585"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(53)</w:t>
            </w:r>
          </w:p>
        </w:tc>
        <w:tc>
          <w:tcPr>
            <w:tcW w:w="999" w:type="dxa"/>
            <w:tcBorders>
              <w:top w:val="nil"/>
              <w:left w:val="nil"/>
              <w:bottom w:val="dotted" w:sz="8" w:space="0" w:color="auto"/>
              <w:right w:val="dotted" w:sz="8" w:space="0" w:color="auto"/>
            </w:tcBorders>
            <w:vAlign w:val="bottom"/>
          </w:tcPr>
          <w:p w14:paraId="6B78D081" w14:textId="56F7D6BD" w:rsidR="003A1383" w:rsidRPr="003A1383" w:rsidRDefault="008B1A6C"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(179)</w:t>
            </w:r>
          </w:p>
        </w:tc>
      </w:tr>
      <w:tr w:rsidR="003A1383" w:rsidRPr="002F44AF" w14:paraId="4F6C30EC"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0433E1CF"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Corporation tax recovered</w:t>
            </w:r>
          </w:p>
        </w:tc>
        <w:tc>
          <w:tcPr>
            <w:tcW w:w="1131" w:type="dxa"/>
            <w:tcBorders>
              <w:top w:val="nil"/>
              <w:left w:val="nil"/>
              <w:bottom w:val="dotted" w:sz="8" w:space="0" w:color="auto"/>
              <w:right w:val="dotted" w:sz="8" w:space="0" w:color="auto"/>
            </w:tcBorders>
          </w:tcPr>
          <w:p w14:paraId="556A700E" w14:textId="21F782D8"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64</w:t>
            </w:r>
          </w:p>
        </w:tc>
        <w:tc>
          <w:tcPr>
            <w:tcW w:w="1131" w:type="dxa"/>
            <w:tcBorders>
              <w:top w:val="nil"/>
              <w:left w:val="nil"/>
              <w:bottom w:val="dotted" w:sz="8" w:space="0" w:color="auto"/>
              <w:right w:val="dotted" w:sz="8" w:space="0" w:color="auto"/>
            </w:tcBorders>
            <w:hideMark/>
          </w:tcPr>
          <w:p w14:paraId="6F59A937" w14:textId="61629110"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47</w:t>
            </w:r>
          </w:p>
        </w:tc>
        <w:tc>
          <w:tcPr>
            <w:tcW w:w="999" w:type="dxa"/>
            <w:tcBorders>
              <w:top w:val="nil"/>
              <w:left w:val="nil"/>
              <w:bottom w:val="dotted" w:sz="8" w:space="0" w:color="auto"/>
              <w:right w:val="dotted" w:sz="8" w:space="0" w:color="auto"/>
            </w:tcBorders>
            <w:vAlign w:val="bottom"/>
          </w:tcPr>
          <w:p w14:paraId="5DBDA4E8" w14:textId="0413CDBD"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64</w:t>
            </w:r>
          </w:p>
        </w:tc>
      </w:tr>
      <w:tr w:rsidR="003A1383" w:rsidRPr="002F44AF" w14:paraId="4302F147" w14:textId="77777777" w:rsidTr="003A1383">
        <w:trPr>
          <w:trHeight w:val="116"/>
        </w:trPr>
        <w:tc>
          <w:tcPr>
            <w:tcW w:w="5369" w:type="dxa"/>
            <w:tcBorders>
              <w:top w:val="nil"/>
              <w:left w:val="dotted" w:sz="8" w:space="0" w:color="auto"/>
              <w:bottom w:val="dotted" w:sz="8" w:space="0" w:color="auto"/>
              <w:right w:val="dotted" w:sz="8" w:space="0" w:color="auto"/>
            </w:tcBorders>
            <w:vAlign w:val="bottom"/>
            <w:hideMark/>
          </w:tcPr>
          <w:p w14:paraId="049DA302"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cash outflow from operating activities</w:t>
            </w:r>
          </w:p>
        </w:tc>
        <w:tc>
          <w:tcPr>
            <w:tcW w:w="1131" w:type="dxa"/>
            <w:tcBorders>
              <w:top w:val="nil"/>
              <w:left w:val="nil"/>
              <w:bottom w:val="dotted" w:sz="8" w:space="0" w:color="auto"/>
              <w:right w:val="dotted" w:sz="8" w:space="0" w:color="auto"/>
            </w:tcBorders>
          </w:tcPr>
          <w:p w14:paraId="2E832BF7" w14:textId="2ABE2D0C"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504</w:t>
            </w:r>
          </w:p>
        </w:tc>
        <w:tc>
          <w:tcPr>
            <w:tcW w:w="1131" w:type="dxa"/>
            <w:tcBorders>
              <w:top w:val="nil"/>
              <w:left w:val="nil"/>
              <w:bottom w:val="dotted" w:sz="8" w:space="0" w:color="auto"/>
              <w:right w:val="dotted" w:sz="8" w:space="0" w:color="auto"/>
            </w:tcBorders>
            <w:hideMark/>
          </w:tcPr>
          <w:p w14:paraId="793A6AF5" w14:textId="20A52FDF"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(6)</w:t>
            </w:r>
          </w:p>
        </w:tc>
        <w:tc>
          <w:tcPr>
            <w:tcW w:w="999" w:type="dxa"/>
            <w:tcBorders>
              <w:top w:val="nil"/>
              <w:left w:val="nil"/>
              <w:bottom w:val="dotted" w:sz="8" w:space="0" w:color="auto"/>
              <w:right w:val="dotted" w:sz="8" w:space="0" w:color="auto"/>
            </w:tcBorders>
            <w:vAlign w:val="bottom"/>
          </w:tcPr>
          <w:p w14:paraId="51263D1A" w14:textId="05879042" w:rsidR="003A1383" w:rsidRPr="003A1383" w:rsidRDefault="008B1A6C"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(115)</w:t>
            </w:r>
          </w:p>
        </w:tc>
      </w:tr>
      <w:tr w:rsidR="003A1383" w:rsidRPr="002F44AF" w14:paraId="642FF95C"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62EEFAAC"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tcPr>
          <w:p w14:paraId="05137613" w14:textId="457AEC47" w:rsidR="003A1383" w:rsidRPr="0055528A" w:rsidRDefault="003A1383" w:rsidP="003A1383">
            <w:pPr>
              <w:spacing w:after="0" w:line="207" w:lineRule="atLeast"/>
              <w:jc w:val="right"/>
              <w:rPr>
                <w:rFonts w:ascii="Arial" w:eastAsia="Times New Roman" w:hAnsi="Arial" w:cs="Arial"/>
                <w:b/>
                <w:bCs/>
                <w:color w:val="000000"/>
                <w:sz w:val="18"/>
                <w:szCs w:val="18"/>
                <w:lang w:eastAsia="en-GB"/>
              </w:rPr>
            </w:pPr>
          </w:p>
        </w:tc>
        <w:tc>
          <w:tcPr>
            <w:tcW w:w="1131" w:type="dxa"/>
            <w:tcBorders>
              <w:top w:val="nil"/>
              <w:left w:val="nil"/>
              <w:bottom w:val="dotted" w:sz="8" w:space="0" w:color="auto"/>
              <w:right w:val="dotted" w:sz="8" w:space="0" w:color="auto"/>
            </w:tcBorders>
            <w:hideMark/>
          </w:tcPr>
          <w:p w14:paraId="56A5655B" w14:textId="7DB8AC0A"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tcPr>
          <w:p w14:paraId="222E4594" w14:textId="4A27DF09" w:rsidR="003A1383" w:rsidRPr="002F44AF" w:rsidRDefault="003A1383" w:rsidP="003A1383">
            <w:pPr>
              <w:spacing w:after="0" w:line="207" w:lineRule="atLeast"/>
              <w:jc w:val="right"/>
              <w:rPr>
                <w:rFonts w:ascii="Arial" w:eastAsia="Times New Roman" w:hAnsi="Arial" w:cs="Arial"/>
                <w:color w:val="000000"/>
                <w:sz w:val="18"/>
                <w:szCs w:val="18"/>
                <w:lang w:eastAsia="en-GB"/>
              </w:rPr>
            </w:pPr>
          </w:p>
        </w:tc>
      </w:tr>
      <w:tr w:rsidR="003A1383" w:rsidRPr="002F44AF" w14:paraId="15BB9485"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1F7E19E9"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Cash flows from investing activities</w:t>
            </w:r>
          </w:p>
        </w:tc>
        <w:tc>
          <w:tcPr>
            <w:tcW w:w="1131" w:type="dxa"/>
            <w:tcBorders>
              <w:top w:val="nil"/>
              <w:left w:val="nil"/>
              <w:bottom w:val="dotted" w:sz="8" w:space="0" w:color="auto"/>
              <w:right w:val="dotted" w:sz="8" w:space="0" w:color="auto"/>
            </w:tcBorders>
          </w:tcPr>
          <w:p w14:paraId="43B4D12B" w14:textId="17C74B21" w:rsidR="003A1383" w:rsidRPr="0055528A" w:rsidRDefault="003A1383" w:rsidP="003A1383">
            <w:pPr>
              <w:spacing w:after="0" w:line="207" w:lineRule="atLeast"/>
              <w:jc w:val="right"/>
              <w:rPr>
                <w:rFonts w:ascii="Arial" w:eastAsia="Times New Roman" w:hAnsi="Arial" w:cs="Arial"/>
                <w:b/>
                <w:bCs/>
                <w:color w:val="000000"/>
                <w:sz w:val="18"/>
                <w:szCs w:val="18"/>
                <w:lang w:eastAsia="en-GB"/>
              </w:rPr>
            </w:pPr>
          </w:p>
        </w:tc>
        <w:tc>
          <w:tcPr>
            <w:tcW w:w="1131" w:type="dxa"/>
            <w:tcBorders>
              <w:top w:val="nil"/>
              <w:left w:val="nil"/>
              <w:bottom w:val="dotted" w:sz="8" w:space="0" w:color="auto"/>
              <w:right w:val="dotted" w:sz="8" w:space="0" w:color="auto"/>
            </w:tcBorders>
            <w:hideMark/>
          </w:tcPr>
          <w:p w14:paraId="0AC92A14" w14:textId="75D6230A"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tcPr>
          <w:p w14:paraId="625FF15E" w14:textId="76A4447E" w:rsidR="003A1383" w:rsidRPr="002F44AF" w:rsidRDefault="003A1383" w:rsidP="003A1383">
            <w:pPr>
              <w:spacing w:after="0" w:line="207" w:lineRule="atLeast"/>
              <w:jc w:val="right"/>
              <w:rPr>
                <w:rFonts w:ascii="Arial" w:eastAsia="Times New Roman" w:hAnsi="Arial" w:cs="Arial"/>
                <w:color w:val="000000"/>
                <w:sz w:val="18"/>
                <w:szCs w:val="18"/>
                <w:lang w:eastAsia="en-GB"/>
              </w:rPr>
            </w:pPr>
          </w:p>
        </w:tc>
      </w:tr>
      <w:tr w:rsidR="008B1A6C" w:rsidRPr="002F44AF" w14:paraId="4186CFF5" w14:textId="77777777" w:rsidTr="003A1383">
        <w:trPr>
          <w:trHeight w:val="60"/>
        </w:trPr>
        <w:tc>
          <w:tcPr>
            <w:tcW w:w="5369" w:type="dxa"/>
            <w:tcBorders>
              <w:top w:val="nil"/>
              <w:left w:val="dotted" w:sz="8" w:space="0" w:color="auto"/>
              <w:bottom w:val="dotted" w:sz="8" w:space="0" w:color="auto"/>
              <w:right w:val="dotted" w:sz="8" w:space="0" w:color="auto"/>
            </w:tcBorders>
            <w:vAlign w:val="bottom"/>
          </w:tcPr>
          <w:p w14:paraId="62870D93" w14:textId="08997BD4" w:rsidR="008B1A6C" w:rsidRPr="002F44AF" w:rsidRDefault="008B1A6C" w:rsidP="003A1383">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Interest received</w:t>
            </w:r>
          </w:p>
        </w:tc>
        <w:tc>
          <w:tcPr>
            <w:tcW w:w="1131" w:type="dxa"/>
            <w:tcBorders>
              <w:top w:val="nil"/>
              <w:left w:val="nil"/>
              <w:bottom w:val="dotted" w:sz="8" w:space="0" w:color="auto"/>
              <w:right w:val="dotted" w:sz="8" w:space="0" w:color="auto"/>
            </w:tcBorders>
          </w:tcPr>
          <w:p w14:paraId="7220BE34" w14:textId="2D560944" w:rsidR="008B1A6C"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w:t>
            </w:r>
          </w:p>
        </w:tc>
        <w:tc>
          <w:tcPr>
            <w:tcW w:w="1131" w:type="dxa"/>
            <w:tcBorders>
              <w:top w:val="nil"/>
              <w:left w:val="nil"/>
              <w:bottom w:val="dotted" w:sz="8" w:space="0" w:color="auto"/>
              <w:right w:val="dotted" w:sz="8" w:space="0" w:color="auto"/>
            </w:tcBorders>
          </w:tcPr>
          <w:p w14:paraId="6D2DD01E" w14:textId="033038F4" w:rsidR="008B1A6C" w:rsidRPr="003A1383" w:rsidRDefault="008B1A6C" w:rsidP="003A1383">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999" w:type="dxa"/>
            <w:tcBorders>
              <w:top w:val="nil"/>
              <w:left w:val="nil"/>
              <w:bottom w:val="dotted" w:sz="8" w:space="0" w:color="auto"/>
              <w:right w:val="dotted" w:sz="8" w:space="0" w:color="auto"/>
            </w:tcBorders>
            <w:vAlign w:val="bottom"/>
          </w:tcPr>
          <w:p w14:paraId="1195F93A" w14:textId="6C05A04F" w:rsidR="008B1A6C"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w:t>
            </w:r>
          </w:p>
        </w:tc>
      </w:tr>
      <w:tr w:rsidR="003A1383" w:rsidRPr="002F44AF" w14:paraId="2A1C87DA"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583D5EF9" w14:textId="3783BB2E"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xml:space="preserve">Purchase of </w:t>
            </w:r>
            <w:r w:rsidR="008B1A6C">
              <w:rPr>
                <w:rFonts w:ascii="Arial" w:eastAsia="Times New Roman" w:hAnsi="Arial" w:cs="Arial"/>
                <w:color w:val="000000"/>
                <w:sz w:val="20"/>
                <w:szCs w:val="20"/>
                <w:lang w:eastAsia="en-GB"/>
              </w:rPr>
              <w:t>intangible and tangible assets</w:t>
            </w:r>
          </w:p>
        </w:tc>
        <w:tc>
          <w:tcPr>
            <w:tcW w:w="1131" w:type="dxa"/>
            <w:tcBorders>
              <w:top w:val="nil"/>
              <w:left w:val="nil"/>
              <w:bottom w:val="dotted" w:sz="8" w:space="0" w:color="auto"/>
              <w:right w:val="dotted" w:sz="8" w:space="0" w:color="auto"/>
            </w:tcBorders>
          </w:tcPr>
          <w:p w14:paraId="45715A30" w14:textId="48D9361F"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(6)</w:t>
            </w:r>
          </w:p>
        </w:tc>
        <w:tc>
          <w:tcPr>
            <w:tcW w:w="1131" w:type="dxa"/>
            <w:tcBorders>
              <w:top w:val="nil"/>
              <w:left w:val="nil"/>
              <w:bottom w:val="dotted" w:sz="8" w:space="0" w:color="auto"/>
              <w:right w:val="dotted" w:sz="8" w:space="0" w:color="auto"/>
            </w:tcBorders>
            <w:hideMark/>
          </w:tcPr>
          <w:p w14:paraId="289DB436" w14:textId="4FCDA6DE"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(26)</w:t>
            </w:r>
          </w:p>
        </w:tc>
        <w:tc>
          <w:tcPr>
            <w:tcW w:w="999" w:type="dxa"/>
            <w:tcBorders>
              <w:top w:val="nil"/>
              <w:left w:val="nil"/>
              <w:bottom w:val="dotted" w:sz="8" w:space="0" w:color="auto"/>
              <w:right w:val="dotted" w:sz="8" w:space="0" w:color="auto"/>
            </w:tcBorders>
            <w:vAlign w:val="bottom"/>
          </w:tcPr>
          <w:p w14:paraId="45174E1D" w14:textId="155F582E"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(27)</w:t>
            </w:r>
          </w:p>
        </w:tc>
      </w:tr>
      <w:tr w:rsidR="003A1383" w:rsidRPr="003A1383" w14:paraId="6460E188"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23947D74"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cash used in investing activities</w:t>
            </w:r>
          </w:p>
        </w:tc>
        <w:tc>
          <w:tcPr>
            <w:tcW w:w="1131" w:type="dxa"/>
            <w:tcBorders>
              <w:top w:val="nil"/>
              <w:left w:val="nil"/>
              <w:bottom w:val="dotted" w:sz="8" w:space="0" w:color="auto"/>
              <w:right w:val="dotted" w:sz="8" w:space="0" w:color="auto"/>
            </w:tcBorders>
          </w:tcPr>
          <w:p w14:paraId="129D9B04" w14:textId="0C3969C9"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w:t>
            </w:r>
          </w:p>
        </w:tc>
        <w:tc>
          <w:tcPr>
            <w:tcW w:w="1131" w:type="dxa"/>
            <w:tcBorders>
              <w:top w:val="nil"/>
              <w:left w:val="nil"/>
              <w:bottom w:val="dotted" w:sz="8" w:space="0" w:color="auto"/>
              <w:right w:val="dotted" w:sz="8" w:space="0" w:color="auto"/>
            </w:tcBorders>
            <w:hideMark/>
          </w:tcPr>
          <w:p w14:paraId="4350B40E" w14:textId="27F27940"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(26)</w:t>
            </w:r>
          </w:p>
        </w:tc>
        <w:tc>
          <w:tcPr>
            <w:tcW w:w="999" w:type="dxa"/>
            <w:tcBorders>
              <w:top w:val="nil"/>
              <w:left w:val="nil"/>
              <w:bottom w:val="dotted" w:sz="8" w:space="0" w:color="auto"/>
              <w:right w:val="dotted" w:sz="8" w:space="0" w:color="auto"/>
            </w:tcBorders>
            <w:vAlign w:val="bottom"/>
          </w:tcPr>
          <w:p w14:paraId="0A18617E" w14:textId="17BBA6EA" w:rsidR="003A1383" w:rsidRPr="003A1383" w:rsidRDefault="008B1A6C"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(26)</w:t>
            </w:r>
          </w:p>
        </w:tc>
      </w:tr>
      <w:tr w:rsidR="003A1383" w:rsidRPr="002F44AF" w14:paraId="2CA95510"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73B91889"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tcPr>
          <w:p w14:paraId="1EEF42D2" w14:textId="03DC480F" w:rsidR="003A1383" w:rsidRPr="0055528A" w:rsidRDefault="003A1383" w:rsidP="003A1383">
            <w:pPr>
              <w:spacing w:after="0" w:line="207" w:lineRule="atLeast"/>
              <w:jc w:val="right"/>
              <w:rPr>
                <w:rFonts w:ascii="Arial" w:eastAsia="Times New Roman" w:hAnsi="Arial" w:cs="Arial"/>
                <w:b/>
                <w:bCs/>
                <w:color w:val="000000"/>
                <w:sz w:val="18"/>
                <w:szCs w:val="18"/>
                <w:lang w:eastAsia="en-GB"/>
              </w:rPr>
            </w:pPr>
          </w:p>
        </w:tc>
        <w:tc>
          <w:tcPr>
            <w:tcW w:w="1131" w:type="dxa"/>
            <w:tcBorders>
              <w:top w:val="nil"/>
              <w:left w:val="nil"/>
              <w:bottom w:val="dotted" w:sz="8" w:space="0" w:color="auto"/>
              <w:right w:val="dotted" w:sz="8" w:space="0" w:color="auto"/>
            </w:tcBorders>
            <w:hideMark/>
          </w:tcPr>
          <w:p w14:paraId="5BE3404A" w14:textId="6B57D8B2"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tcPr>
          <w:p w14:paraId="38263418" w14:textId="53FE10D2" w:rsidR="003A1383" w:rsidRPr="002F44AF" w:rsidRDefault="003A1383" w:rsidP="003A1383">
            <w:pPr>
              <w:spacing w:after="0" w:line="207" w:lineRule="atLeast"/>
              <w:jc w:val="right"/>
              <w:rPr>
                <w:rFonts w:ascii="Arial" w:eastAsia="Times New Roman" w:hAnsi="Arial" w:cs="Arial"/>
                <w:color w:val="000000"/>
                <w:sz w:val="18"/>
                <w:szCs w:val="18"/>
                <w:lang w:eastAsia="en-GB"/>
              </w:rPr>
            </w:pPr>
          </w:p>
        </w:tc>
      </w:tr>
      <w:tr w:rsidR="003A1383" w:rsidRPr="002F44AF" w14:paraId="7C2D4B26"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77310034"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Cash flows from financing activities</w:t>
            </w:r>
          </w:p>
        </w:tc>
        <w:tc>
          <w:tcPr>
            <w:tcW w:w="1131" w:type="dxa"/>
            <w:tcBorders>
              <w:top w:val="nil"/>
              <w:left w:val="nil"/>
              <w:bottom w:val="dotted" w:sz="8" w:space="0" w:color="auto"/>
              <w:right w:val="dotted" w:sz="8" w:space="0" w:color="auto"/>
            </w:tcBorders>
          </w:tcPr>
          <w:p w14:paraId="2DE1D057" w14:textId="34C522B8" w:rsidR="003A1383" w:rsidRPr="0055528A" w:rsidRDefault="003A1383" w:rsidP="003A1383">
            <w:pPr>
              <w:spacing w:after="0" w:line="207" w:lineRule="atLeast"/>
              <w:jc w:val="right"/>
              <w:rPr>
                <w:rFonts w:ascii="Arial" w:eastAsia="Times New Roman" w:hAnsi="Arial" w:cs="Arial"/>
                <w:b/>
                <w:bCs/>
                <w:color w:val="000000"/>
                <w:sz w:val="18"/>
                <w:szCs w:val="18"/>
                <w:lang w:eastAsia="en-GB"/>
              </w:rPr>
            </w:pPr>
          </w:p>
        </w:tc>
        <w:tc>
          <w:tcPr>
            <w:tcW w:w="1131" w:type="dxa"/>
            <w:tcBorders>
              <w:top w:val="nil"/>
              <w:left w:val="nil"/>
              <w:bottom w:val="dotted" w:sz="8" w:space="0" w:color="auto"/>
              <w:right w:val="dotted" w:sz="8" w:space="0" w:color="auto"/>
            </w:tcBorders>
            <w:hideMark/>
          </w:tcPr>
          <w:p w14:paraId="4B02606A" w14:textId="216E8593"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tcPr>
          <w:p w14:paraId="35398EF0" w14:textId="54D81A2F" w:rsidR="003A1383" w:rsidRPr="002F44AF" w:rsidRDefault="003A1383" w:rsidP="003A1383">
            <w:pPr>
              <w:spacing w:after="0" w:line="207" w:lineRule="atLeast"/>
              <w:jc w:val="right"/>
              <w:rPr>
                <w:rFonts w:ascii="Arial" w:eastAsia="Times New Roman" w:hAnsi="Arial" w:cs="Arial"/>
                <w:b/>
                <w:bCs/>
                <w:color w:val="000000"/>
                <w:sz w:val="18"/>
                <w:szCs w:val="18"/>
                <w:lang w:eastAsia="en-GB"/>
              </w:rPr>
            </w:pPr>
          </w:p>
        </w:tc>
      </w:tr>
      <w:tr w:rsidR="003A1383" w:rsidRPr="002F44AF" w14:paraId="39154B96"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70A8F952" w14:textId="77777777" w:rsidR="003A1383" w:rsidRPr="008B1A6C" w:rsidRDefault="003A1383" w:rsidP="003A1383">
            <w:pPr>
              <w:spacing w:after="0" w:line="207" w:lineRule="atLeast"/>
              <w:rPr>
                <w:rFonts w:ascii="Arial" w:eastAsia="Times New Roman" w:hAnsi="Arial" w:cs="Arial"/>
                <w:color w:val="000000"/>
                <w:sz w:val="18"/>
                <w:szCs w:val="18"/>
                <w:lang w:eastAsia="en-GB"/>
              </w:rPr>
            </w:pPr>
            <w:r w:rsidRPr="008B1A6C">
              <w:rPr>
                <w:rFonts w:ascii="Arial" w:eastAsia="Times New Roman" w:hAnsi="Arial" w:cs="Arial"/>
                <w:color w:val="000000"/>
                <w:sz w:val="20"/>
                <w:szCs w:val="20"/>
                <w:lang w:eastAsia="en-GB"/>
              </w:rPr>
              <w:t>Proceeds from issue of share capital</w:t>
            </w:r>
          </w:p>
        </w:tc>
        <w:tc>
          <w:tcPr>
            <w:tcW w:w="1131" w:type="dxa"/>
            <w:tcBorders>
              <w:top w:val="nil"/>
              <w:left w:val="nil"/>
              <w:bottom w:val="dotted" w:sz="8" w:space="0" w:color="auto"/>
              <w:right w:val="dotted" w:sz="8" w:space="0" w:color="auto"/>
            </w:tcBorders>
          </w:tcPr>
          <w:p w14:paraId="1D71BD32" w14:textId="0168BFB7" w:rsidR="003A1383" w:rsidRPr="0055528A" w:rsidRDefault="006951D5"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p>
        </w:tc>
        <w:tc>
          <w:tcPr>
            <w:tcW w:w="1131" w:type="dxa"/>
            <w:tcBorders>
              <w:top w:val="nil"/>
              <w:left w:val="nil"/>
              <w:bottom w:val="dotted" w:sz="8" w:space="0" w:color="auto"/>
              <w:right w:val="dotted" w:sz="8" w:space="0" w:color="auto"/>
            </w:tcBorders>
            <w:hideMark/>
          </w:tcPr>
          <w:p w14:paraId="2F73EB20" w14:textId="33EC0B0E"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20"/>
                <w:szCs w:val="20"/>
                <w:lang w:eastAsia="en-GB"/>
              </w:rPr>
              <w:t>-</w:t>
            </w:r>
          </w:p>
        </w:tc>
        <w:tc>
          <w:tcPr>
            <w:tcW w:w="999" w:type="dxa"/>
            <w:tcBorders>
              <w:top w:val="nil"/>
              <w:left w:val="nil"/>
              <w:bottom w:val="dotted" w:sz="8" w:space="0" w:color="auto"/>
              <w:right w:val="dotted" w:sz="8" w:space="0" w:color="auto"/>
            </w:tcBorders>
            <w:vAlign w:val="bottom"/>
          </w:tcPr>
          <w:p w14:paraId="0D0FFACD" w14:textId="14FF1EC6"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tc>
      </w:tr>
      <w:tr w:rsidR="003A1383" w:rsidRPr="002F44AF" w14:paraId="181B9021"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01018D6B"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Net cash from financing activities</w:t>
            </w:r>
          </w:p>
        </w:tc>
        <w:tc>
          <w:tcPr>
            <w:tcW w:w="1131" w:type="dxa"/>
            <w:tcBorders>
              <w:top w:val="nil"/>
              <w:left w:val="nil"/>
              <w:bottom w:val="dotted" w:sz="8" w:space="0" w:color="auto"/>
              <w:right w:val="dotted" w:sz="8" w:space="0" w:color="auto"/>
            </w:tcBorders>
          </w:tcPr>
          <w:p w14:paraId="339ADFC5" w14:textId="2A8F928B" w:rsidR="003A1383" w:rsidRPr="0055528A" w:rsidRDefault="006951D5"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p>
        </w:tc>
        <w:tc>
          <w:tcPr>
            <w:tcW w:w="1131" w:type="dxa"/>
            <w:tcBorders>
              <w:top w:val="nil"/>
              <w:left w:val="nil"/>
              <w:bottom w:val="dotted" w:sz="8" w:space="0" w:color="auto"/>
              <w:right w:val="dotted" w:sz="8" w:space="0" w:color="auto"/>
            </w:tcBorders>
            <w:hideMark/>
          </w:tcPr>
          <w:p w14:paraId="57874E40" w14:textId="62B65D05" w:rsidR="003A1383" w:rsidRPr="008B1A6C" w:rsidRDefault="003A1383" w:rsidP="003A1383">
            <w:pPr>
              <w:spacing w:after="0" w:line="207" w:lineRule="atLeast"/>
              <w:jc w:val="right"/>
              <w:rPr>
                <w:rFonts w:ascii="Arial" w:eastAsia="Times New Roman" w:hAnsi="Arial" w:cs="Arial"/>
                <w:b/>
                <w:bCs/>
                <w:color w:val="000000"/>
                <w:sz w:val="18"/>
                <w:szCs w:val="18"/>
                <w:lang w:eastAsia="en-GB"/>
              </w:rPr>
            </w:pPr>
            <w:r w:rsidRPr="008B1A6C">
              <w:rPr>
                <w:rFonts w:ascii="Arial" w:eastAsia="Times New Roman" w:hAnsi="Arial" w:cs="Arial"/>
                <w:b/>
                <w:bCs/>
                <w:color w:val="000000"/>
                <w:sz w:val="20"/>
                <w:szCs w:val="20"/>
                <w:lang w:eastAsia="en-GB"/>
              </w:rPr>
              <w:t>-</w:t>
            </w:r>
          </w:p>
        </w:tc>
        <w:tc>
          <w:tcPr>
            <w:tcW w:w="999" w:type="dxa"/>
            <w:tcBorders>
              <w:top w:val="nil"/>
              <w:left w:val="nil"/>
              <w:bottom w:val="dotted" w:sz="8" w:space="0" w:color="auto"/>
              <w:right w:val="dotted" w:sz="8" w:space="0" w:color="auto"/>
            </w:tcBorders>
            <w:vAlign w:val="bottom"/>
          </w:tcPr>
          <w:p w14:paraId="7CD1CFBD" w14:textId="1A4C5B83" w:rsidR="003A1383" w:rsidRPr="008B1A6C" w:rsidRDefault="008B1A6C" w:rsidP="003A1383">
            <w:pPr>
              <w:spacing w:after="0" w:line="207" w:lineRule="atLeast"/>
              <w:jc w:val="right"/>
              <w:rPr>
                <w:rFonts w:ascii="Arial" w:eastAsia="Times New Roman" w:hAnsi="Arial" w:cs="Arial"/>
                <w:b/>
                <w:bCs/>
                <w:color w:val="000000"/>
                <w:sz w:val="18"/>
                <w:szCs w:val="18"/>
                <w:lang w:eastAsia="en-GB"/>
              </w:rPr>
            </w:pPr>
            <w:r w:rsidRPr="008B1A6C">
              <w:rPr>
                <w:rFonts w:ascii="Arial" w:eastAsia="Times New Roman" w:hAnsi="Arial" w:cs="Arial"/>
                <w:b/>
                <w:bCs/>
                <w:color w:val="000000"/>
                <w:sz w:val="18"/>
                <w:szCs w:val="18"/>
                <w:lang w:eastAsia="en-GB"/>
              </w:rPr>
              <w:t>-</w:t>
            </w:r>
          </w:p>
        </w:tc>
      </w:tr>
      <w:tr w:rsidR="003A1383" w:rsidRPr="002F44AF" w14:paraId="19A1D092"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74750F3D"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tcPr>
          <w:p w14:paraId="49D67B6A" w14:textId="7F677F50" w:rsidR="003A1383" w:rsidRPr="0055528A" w:rsidRDefault="003A1383" w:rsidP="003A1383">
            <w:pPr>
              <w:spacing w:after="0" w:line="207" w:lineRule="atLeast"/>
              <w:jc w:val="right"/>
              <w:rPr>
                <w:rFonts w:ascii="Arial" w:eastAsia="Times New Roman" w:hAnsi="Arial" w:cs="Arial"/>
                <w:b/>
                <w:bCs/>
                <w:color w:val="000000"/>
                <w:sz w:val="18"/>
                <w:szCs w:val="18"/>
                <w:lang w:eastAsia="en-GB"/>
              </w:rPr>
            </w:pPr>
          </w:p>
        </w:tc>
        <w:tc>
          <w:tcPr>
            <w:tcW w:w="1131" w:type="dxa"/>
            <w:tcBorders>
              <w:top w:val="nil"/>
              <w:left w:val="nil"/>
              <w:bottom w:val="dotted" w:sz="8" w:space="0" w:color="auto"/>
              <w:right w:val="dotted" w:sz="8" w:space="0" w:color="auto"/>
            </w:tcBorders>
            <w:hideMark/>
          </w:tcPr>
          <w:p w14:paraId="44496CD8" w14:textId="7F368F87" w:rsidR="003A1383" w:rsidRPr="003A1383" w:rsidRDefault="003A1383" w:rsidP="003A1383">
            <w:pPr>
              <w:spacing w:after="0" w:line="207" w:lineRule="atLeast"/>
              <w:jc w:val="right"/>
              <w:rPr>
                <w:rFonts w:ascii="Arial" w:eastAsia="Times New Roman" w:hAnsi="Arial" w:cs="Arial"/>
                <w:color w:val="000000"/>
                <w:sz w:val="18"/>
                <w:szCs w:val="18"/>
                <w:lang w:eastAsia="en-GB"/>
              </w:rPr>
            </w:pPr>
            <w:r w:rsidRPr="003A1383">
              <w:rPr>
                <w:rFonts w:ascii="Arial" w:eastAsia="Times New Roman" w:hAnsi="Arial" w:cs="Arial"/>
                <w:color w:val="000000"/>
                <w:sz w:val="18"/>
                <w:szCs w:val="18"/>
                <w:lang w:eastAsia="en-GB"/>
              </w:rPr>
              <w:t> </w:t>
            </w:r>
          </w:p>
        </w:tc>
        <w:tc>
          <w:tcPr>
            <w:tcW w:w="999" w:type="dxa"/>
            <w:tcBorders>
              <w:top w:val="nil"/>
              <w:left w:val="nil"/>
              <w:bottom w:val="dotted" w:sz="8" w:space="0" w:color="auto"/>
              <w:right w:val="dotted" w:sz="8" w:space="0" w:color="auto"/>
            </w:tcBorders>
            <w:vAlign w:val="bottom"/>
          </w:tcPr>
          <w:p w14:paraId="4FE1846B" w14:textId="28A978C1" w:rsidR="003A1383" w:rsidRPr="002F44AF" w:rsidRDefault="003A1383" w:rsidP="003A1383">
            <w:pPr>
              <w:spacing w:after="0" w:line="207" w:lineRule="atLeast"/>
              <w:jc w:val="right"/>
              <w:rPr>
                <w:rFonts w:ascii="Arial" w:eastAsia="Times New Roman" w:hAnsi="Arial" w:cs="Arial"/>
                <w:b/>
                <w:bCs/>
                <w:color w:val="000000"/>
                <w:sz w:val="18"/>
                <w:szCs w:val="18"/>
                <w:lang w:eastAsia="en-GB"/>
              </w:rPr>
            </w:pPr>
          </w:p>
        </w:tc>
      </w:tr>
      <w:tr w:rsidR="003A1383" w:rsidRPr="002F44AF" w14:paraId="55165F0F"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6FCB2064" w14:textId="1F4BED0F" w:rsidR="003A1383" w:rsidRPr="00400CA8" w:rsidRDefault="003A1383" w:rsidP="003A1383">
            <w:pPr>
              <w:spacing w:after="0" w:line="207" w:lineRule="atLeast"/>
              <w:rPr>
                <w:rFonts w:ascii="Arial" w:eastAsia="Times New Roman" w:hAnsi="Arial" w:cs="Arial"/>
                <w:color w:val="000000"/>
                <w:sz w:val="18"/>
                <w:szCs w:val="18"/>
                <w:lang w:eastAsia="en-GB"/>
              </w:rPr>
            </w:pPr>
            <w:r w:rsidRPr="00400CA8">
              <w:rPr>
                <w:rFonts w:ascii="Arial" w:eastAsia="Times New Roman" w:hAnsi="Arial" w:cs="Arial"/>
                <w:b/>
                <w:bCs/>
                <w:color w:val="000000"/>
                <w:sz w:val="20"/>
                <w:szCs w:val="20"/>
                <w:lang w:eastAsia="en-GB"/>
              </w:rPr>
              <w:t>Net increase</w:t>
            </w:r>
            <w:r w:rsidR="00400CA8" w:rsidRPr="00400CA8">
              <w:rPr>
                <w:rFonts w:ascii="Arial" w:eastAsia="Times New Roman" w:hAnsi="Arial" w:cs="Arial"/>
                <w:b/>
                <w:bCs/>
                <w:color w:val="000000"/>
                <w:sz w:val="20"/>
                <w:szCs w:val="20"/>
                <w:lang w:eastAsia="en-GB"/>
              </w:rPr>
              <w:t>/(decrease)</w:t>
            </w:r>
            <w:r w:rsidRPr="00400CA8">
              <w:rPr>
                <w:rFonts w:ascii="Arial" w:eastAsia="Times New Roman" w:hAnsi="Arial" w:cs="Arial"/>
                <w:b/>
                <w:bCs/>
                <w:color w:val="000000"/>
                <w:sz w:val="20"/>
                <w:szCs w:val="20"/>
                <w:lang w:eastAsia="en-GB"/>
              </w:rPr>
              <w:t xml:space="preserve"> in cash and cash equivalents</w:t>
            </w:r>
          </w:p>
        </w:tc>
        <w:tc>
          <w:tcPr>
            <w:tcW w:w="1131" w:type="dxa"/>
            <w:tcBorders>
              <w:top w:val="nil"/>
              <w:left w:val="nil"/>
              <w:bottom w:val="dotted" w:sz="8" w:space="0" w:color="auto"/>
              <w:right w:val="dotted" w:sz="8" w:space="0" w:color="auto"/>
            </w:tcBorders>
          </w:tcPr>
          <w:p w14:paraId="5EA694BD" w14:textId="4A90862A"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sidRPr="0055528A">
              <w:rPr>
                <w:rFonts w:ascii="Arial" w:eastAsia="Times New Roman" w:hAnsi="Arial" w:cs="Arial"/>
                <w:b/>
                <w:bCs/>
                <w:color w:val="000000"/>
                <w:sz w:val="18"/>
                <w:szCs w:val="18"/>
                <w:lang w:eastAsia="en-GB"/>
              </w:rPr>
              <w:t>499</w:t>
            </w:r>
          </w:p>
        </w:tc>
        <w:tc>
          <w:tcPr>
            <w:tcW w:w="1131" w:type="dxa"/>
            <w:tcBorders>
              <w:top w:val="nil"/>
              <w:left w:val="nil"/>
              <w:bottom w:val="dotted" w:sz="8" w:space="0" w:color="auto"/>
              <w:right w:val="dotted" w:sz="8" w:space="0" w:color="auto"/>
            </w:tcBorders>
            <w:hideMark/>
          </w:tcPr>
          <w:p w14:paraId="37A4EC9B" w14:textId="3FAA34C1"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(32)</w:t>
            </w:r>
          </w:p>
        </w:tc>
        <w:tc>
          <w:tcPr>
            <w:tcW w:w="999" w:type="dxa"/>
            <w:tcBorders>
              <w:top w:val="nil"/>
              <w:left w:val="nil"/>
              <w:bottom w:val="dotted" w:sz="8" w:space="0" w:color="auto"/>
              <w:right w:val="dotted" w:sz="8" w:space="0" w:color="auto"/>
            </w:tcBorders>
            <w:vAlign w:val="bottom"/>
          </w:tcPr>
          <w:p w14:paraId="4D15B6E5" w14:textId="3B77AFB0" w:rsidR="003A1383" w:rsidRPr="002F44AF" w:rsidRDefault="008B1A6C"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(141)</w:t>
            </w:r>
          </w:p>
        </w:tc>
      </w:tr>
      <w:tr w:rsidR="003A1383" w:rsidRPr="002F44AF" w14:paraId="518047E7"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5649A38E"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Cash and cash equivalents at beginning of period</w:t>
            </w:r>
          </w:p>
        </w:tc>
        <w:tc>
          <w:tcPr>
            <w:tcW w:w="1131" w:type="dxa"/>
            <w:tcBorders>
              <w:top w:val="nil"/>
              <w:left w:val="nil"/>
              <w:bottom w:val="dotted" w:sz="8" w:space="0" w:color="auto"/>
              <w:right w:val="dotted" w:sz="8" w:space="0" w:color="auto"/>
            </w:tcBorders>
          </w:tcPr>
          <w:p w14:paraId="62146802" w14:textId="7AE10963"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sidRPr="0055528A">
              <w:rPr>
                <w:rFonts w:ascii="Arial" w:eastAsia="Times New Roman" w:hAnsi="Arial" w:cs="Arial"/>
                <w:b/>
                <w:bCs/>
                <w:color w:val="000000"/>
                <w:sz w:val="18"/>
                <w:szCs w:val="18"/>
                <w:lang w:eastAsia="en-GB"/>
              </w:rPr>
              <w:t>641</w:t>
            </w:r>
          </w:p>
        </w:tc>
        <w:tc>
          <w:tcPr>
            <w:tcW w:w="1131" w:type="dxa"/>
            <w:tcBorders>
              <w:top w:val="nil"/>
              <w:left w:val="nil"/>
              <w:bottom w:val="dotted" w:sz="8" w:space="0" w:color="auto"/>
              <w:right w:val="dotted" w:sz="8" w:space="0" w:color="auto"/>
            </w:tcBorders>
            <w:hideMark/>
          </w:tcPr>
          <w:p w14:paraId="43E7045F" w14:textId="1D580AAD" w:rsidR="003A1383" w:rsidRPr="008B1A6C" w:rsidRDefault="003A1383" w:rsidP="003A1383">
            <w:pPr>
              <w:spacing w:after="0" w:line="207" w:lineRule="atLeast"/>
              <w:jc w:val="right"/>
              <w:rPr>
                <w:rFonts w:ascii="Arial" w:eastAsia="Times New Roman" w:hAnsi="Arial" w:cs="Arial"/>
                <w:color w:val="000000"/>
                <w:sz w:val="18"/>
                <w:szCs w:val="18"/>
                <w:lang w:eastAsia="en-GB"/>
              </w:rPr>
            </w:pPr>
            <w:r w:rsidRPr="008B1A6C">
              <w:rPr>
                <w:rFonts w:ascii="Arial" w:eastAsia="Times New Roman" w:hAnsi="Arial" w:cs="Arial"/>
                <w:color w:val="000000"/>
                <w:sz w:val="20"/>
                <w:szCs w:val="20"/>
                <w:lang w:eastAsia="en-GB"/>
              </w:rPr>
              <w:t>782</w:t>
            </w:r>
          </w:p>
        </w:tc>
        <w:tc>
          <w:tcPr>
            <w:tcW w:w="999" w:type="dxa"/>
            <w:tcBorders>
              <w:top w:val="nil"/>
              <w:left w:val="nil"/>
              <w:bottom w:val="dotted" w:sz="8" w:space="0" w:color="auto"/>
              <w:right w:val="dotted" w:sz="8" w:space="0" w:color="auto"/>
            </w:tcBorders>
            <w:vAlign w:val="bottom"/>
          </w:tcPr>
          <w:p w14:paraId="109F7CB8" w14:textId="1EC6F944" w:rsidR="003A1383" w:rsidRPr="002F44AF" w:rsidRDefault="008B1A6C" w:rsidP="003A1383">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782</w:t>
            </w:r>
          </w:p>
        </w:tc>
      </w:tr>
      <w:tr w:rsidR="003A1383" w:rsidRPr="002F44AF" w14:paraId="03D20EED" w14:textId="77777777" w:rsidTr="003A1383">
        <w:trPr>
          <w:trHeight w:val="60"/>
        </w:trPr>
        <w:tc>
          <w:tcPr>
            <w:tcW w:w="5369" w:type="dxa"/>
            <w:tcBorders>
              <w:top w:val="nil"/>
              <w:left w:val="dotted" w:sz="8" w:space="0" w:color="auto"/>
              <w:bottom w:val="dotted" w:sz="8" w:space="0" w:color="auto"/>
              <w:right w:val="dotted" w:sz="8" w:space="0" w:color="auto"/>
            </w:tcBorders>
            <w:vAlign w:val="bottom"/>
            <w:hideMark/>
          </w:tcPr>
          <w:p w14:paraId="41535770" w14:textId="77777777" w:rsidR="003A1383" w:rsidRPr="002F44AF" w:rsidRDefault="003A1383" w:rsidP="003A1383">
            <w:pPr>
              <w:spacing w:after="0" w:line="207" w:lineRule="atLeast"/>
              <w:rPr>
                <w:rFonts w:ascii="Arial" w:eastAsia="Times New Roman" w:hAnsi="Arial" w:cs="Arial"/>
                <w:color w:val="000000"/>
                <w:sz w:val="18"/>
                <w:szCs w:val="18"/>
                <w:lang w:eastAsia="en-GB"/>
              </w:rPr>
            </w:pPr>
            <w:r w:rsidRPr="002F44AF">
              <w:rPr>
                <w:rFonts w:ascii="Arial" w:eastAsia="Times New Roman" w:hAnsi="Arial" w:cs="Arial"/>
                <w:b/>
                <w:bCs/>
                <w:color w:val="000000"/>
                <w:sz w:val="20"/>
                <w:szCs w:val="20"/>
                <w:lang w:eastAsia="en-GB"/>
              </w:rPr>
              <w:t>Cash and cash equivalents at end of period</w:t>
            </w:r>
          </w:p>
        </w:tc>
        <w:tc>
          <w:tcPr>
            <w:tcW w:w="1131" w:type="dxa"/>
            <w:tcBorders>
              <w:top w:val="nil"/>
              <w:left w:val="nil"/>
              <w:bottom w:val="dotted" w:sz="8" w:space="0" w:color="auto"/>
              <w:right w:val="dotted" w:sz="8" w:space="0" w:color="auto"/>
            </w:tcBorders>
          </w:tcPr>
          <w:p w14:paraId="354E3A75" w14:textId="0E7C8483" w:rsidR="003A1383" w:rsidRPr="0055528A" w:rsidRDefault="0055528A" w:rsidP="003A1383">
            <w:pPr>
              <w:spacing w:after="0" w:line="207" w:lineRule="atLeast"/>
              <w:jc w:val="right"/>
              <w:rPr>
                <w:rFonts w:ascii="Arial" w:eastAsia="Times New Roman" w:hAnsi="Arial" w:cs="Arial"/>
                <w:b/>
                <w:bCs/>
                <w:color w:val="000000"/>
                <w:sz w:val="18"/>
                <w:szCs w:val="18"/>
                <w:lang w:eastAsia="en-GB"/>
              </w:rPr>
            </w:pPr>
            <w:r w:rsidRPr="0055528A">
              <w:rPr>
                <w:rFonts w:ascii="Arial" w:eastAsia="Times New Roman" w:hAnsi="Arial" w:cs="Arial"/>
                <w:b/>
                <w:bCs/>
                <w:color w:val="000000"/>
                <w:sz w:val="18"/>
                <w:szCs w:val="18"/>
                <w:lang w:eastAsia="en-GB"/>
              </w:rPr>
              <w:t>1,140</w:t>
            </w:r>
          </w:p>
        </w:tc>
        <w:tc>
          <w:tcPr>
            <w:tcW w:w="1131" w:type="dxa"/>
            <w:tcBorders>
              <w:top w:val="nil"/>
              <w:left w:val="nil"/>
              <w:bottom w:val="dotted" w:sz="8" w:space="0" w:color="auto"/>
              <w:right w:val="dotted" w:sz="8" w:space="0" w:color="auto"/>
            </w:tcBorders>
            <w:hideMark/>
          </w:tcPr>
          <w:p w14:paraId="15255B05" w14:textId="37E10818" w:rsidR="003A1383" w:rsidRPr="003A1383" w:rsidRDefault="003A1383" w:rsidP="003A1383">
            <w:pPr>
              <w:spacing w:after="0" w:line="207" w:lineRule="atLeast"/>
              <w:jc w:val="right"/>
              <w:rPr>
                <w:rFonts w:ascii="Arial" w:eastAsia="Times New Roman" w:hAnsi="Arial" w:cs="Arial"/>
                <w:b/>
                <w:bCs/>
                <w:color w:val="000000"/>
                <w:sz w:val="18"/>
                <w:szCs w:val="18"/>
                <w:lang w:eastAsia="en-GB"/>
              </w:rPr>
            </w:pPr>
            <w:r w:rsidRPr="003A1383">
              <w:rPr>
                <w:rFonts w:ascii="Arial" w:eastAsia="Times New Roman" w:hAnsi="Arial" w:cs="Arial"/>
                <w:b/>
                <w:bCs/>
                <w:color w:val="000000"/>
                <w:sz w:val="20"/>
                <w:szCs w:val="20"/>
                <w:lang w:eastAsia="en-GB"/>
              </w:rPr>
              <w:t>750</w:t>
            </w:r>
          </w:p>
        </w:tc>
        <w:tc>
          <w:tcPr>
            <w:tcW w:w="999" w:type="dxa"/>
            <w:tcBorders>
              <w:top w:val="nil"/>
              <w:left w:val="nil"/>
              <w:bottom w:val="dotted" w:sz="8" w:space="0" w:color="auto"/>
              <w:right w:val="dotted" w:sz="8" w:space="0" w:color="auto"/>
            </w:tcBorders>
            <w:vAlign w:val="bottom"/>
          </w:tcPr>
          <w:p w14:paraId="5521915A" w14:textId="7E7A9E74" w:rsidR="003A1383" w:rsidRPr="002F44AF" w:rsidRDefault="003F2E54" w:rsidP="003A1383">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641</w:t>
            </w:r>
          </w:p>
        </w:tc>
      </w:tr>
    </w:tbl>
    <w:p w14:paraId="2C935CC9"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2C5B57D3" w14:textId="605E5AEC" w:rsidR="008D624E" w:rsidRDefault="002C5B2A" w:rsidP="002C5B2A">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2F44AF">
        <w:rPr>
          <w:rFonts w:ascii="Times New Roman" w:eastAsia="Times New Roman" w:hAnsi="Times New Roman" w:cs="Times New Roman"/>
          <w:b/>
          <w:bCs/>
          <w:color w:val="000000"/>
          <w:sz w:val="27"/>
          <w:szCs w:val="27"/>
          <w:lang w:eastAsia="en-GB"/>
        </w:rPr>
        <w:t> </w:t>
      </w:r>
    </w:p>
    <w:p w14:paraId="1ED2EC7F" w14:textId="77777777" w:rsidR="008D624E" w:rsidRDefault="008D624E">
      <w:pPr>
        <w:spacing w:after="160" w:line="259" w:lineRule="auto"/>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br w:type="page"/>
      </w:r>
    </w:p>
    <w:p w14:paraId="4744F419" w14:textId="77777777" w:rsidR="002C5B2A" w:rsidRPr="008D624E" w:rsidRDefault="002C5B2A" w:rsidP="002C5B2A">
      <w:pPr>
        <w:spacing w:after="0" w:line="360" w:lineRule="atLeast"/>
        <w:rPr>
          <w:rFonts w:ascii="Arial" w:eastAsia="Times New Roman" w:hAnsi="Arial" w:cs="Arial"/>
          <w:b/>
          <w:bCs/>
          <w:color w:val="000000"/>
          <w:sz w:val="32"/>
          <w:szCs w:val="32"/>
          <w:lang w:eastAsia="en-GB"/>
        </w:rPr>
      </w:pPr>
      <w:r w:rsidRPr="008D624E">
        <w:rPr>
          <w:rFonts w:ascii="Arial" w:eastAsia="Times New Roman" w:hAnsi="Arial" w:cs="Arial"/>
          <w:b/>
          <w:bCs/>
          <w:color w:val="000000"/>
          <w:sz w:val="20"/>
          <w:szCs w:val="20"/>
          <w:lang w:eastAsia="en-GB"/>
        </w:rPr>
        <w:lastRenderedPageBreak/>
        <w:t>Notes to the unaudited interim financial statements</w:t>
      </w:r>
    </w:p>
    <w:p w14:paraId="3B5530A2" w14:textId="3704B897" w:rsidR="002C5B2A" w:rsidRPr="008D624E" w:rsidRDefault="002C5B2A" w:rsidP="002C5B2A">
      <w:pPr>
        <w:spacing w:after="0" w:line="240" w:lineRule="atLeast"/>
        <w:rPr>
          <w:rFonts w:ascii="Arial" w:eastAsia="Times New Roman" w:hAnsi="Arial" w:cs="Arial"/>
          <w:b/>
          <w:bCs/>
          <w:color w:val="000000"/>
          <w:sz w:val="32"/>
          <w:szCs w:val="32"/>
          <w:lang w:eastAsia="en-GB"/>
        </w:rPr>
      </w:pPr>
      <w:r w:rsidRPr="008D624E">
        <w:rPr>
          <w:rFonts w:ascii="Arial" w:eastAsia="Times New Roman" w:hAnsi="Arial" w:cs="Arial"/>
          <w:b/>
          <w:bCs/>
          <w:color w:val="000000"/>
          <w:sz w:val="20"/>
          <w:szCs w:val="20"/>
          <w:lang w:eastAsia="en-GB"/>
        </w:rPr>
        <w:t>For the six months ended 31 March 20</w:t>
      </w:r>
      <w:r w:rsidR="003A1383">
        <w:rPr>
          <w:rFonts w:ascii="Arial" w:eastAsia="Times New Roman" w:hAnsi="Arial" w:cs="Arial"/>
          <w:b/>
          <w:bCs/>
          <w:color w:val="000000"/>
          <w:sz w:val="20"/>
          <w:szCs w:val="20"/>
          <w:lang w:eastAsia="en-GB"/>
        </w:rPr>
        <w:t>20</w:t>
      </w:r>
    </w:p>
    <w:p w14:paraId="4E37909D"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44B3C81A"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 Basis of preparation</w:t>
      </w:r>
    </w:p>
    <w:p w14:paraId="40106AF5" w14:textId="1CAC9C26"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interim financial statements, which are unaudited, have been prepared on the basis of the accounting policies expected to apply for the financial year to 30 September 20</w:t>
      </w:r>
      <w:r w:rsidR="003A1383">
        <w:rPr>
          <w:rFonts w:ascii="Arial" w:eastAsia="Times New Roman" w:hAnsi="Arial" w:cs="Arial"/>
          <w:color w:val="000000"/>
          <w:sz w:val="20"/>
          <w:szCs w:val="20"/>
          <w:lang w:eastAsia="en-GB"/>
        </w:rPr>
        <w:t>20</w:t>
      </w:r>
      <w:r w:rsidRPr="002F44AF">
        <w:rPr>
          <w:rFonts w:ascii="Arial" w:eastAsia="Times New Roman" w:hAnsi="Arial" w:cs="Arial"/>
          <w:color w:val="000000"/>
          <w:sz w:val="20"/>
          <w:szCs w:val="20"/>
          <w:lang w:eastAsia="en-GB"/>
        </w:rPr>
        <w:t xml:space="preserve"> and in accordance with recognition and measurement principles of International Financial Reporting Standards ('IFRSs') as endorsed by the European Union. The accounting policies applied in the preparation of these interim financial statements are consistent with those used in the financial statements for the year ended 30 September 201</w:t>
      </w:r>
      <w:r w:rsidR="003A1383">
        <w:rPr>
          <w:rFonts w:ascii="Arial" w:eastAsia="Times New Roman" w:hAnsi="Arial" w:cs="Arial"/>
          <w:color w:val="000000"/>
          <w:sz w:val="20"/>
          <w:szCs w:val="20"/>
          <w:lang w:eastAsia="en-GB"/>
        </w:rPr>
        <w:t>9</w:t>
      </w:r>
      <w:r w:rsidRPr="002F44AF">
        <w:rPr>
          <w:rFonts w:ascii="Arial" w:eastAsia="Times New Roman" w:hAnsi="Arial" w:cs="Arial"/>
          <w:color w:val="000000"/>
          <w:sz w:val="20"/>
          <w:szCs w:val="20"/>
          <w:lang w:eastAsia="en-GB"/>
        </w:rPr>
        <w:t>.</w:t>
      </w:r>
    </w:p>
    <w:p w14:paraId="50E406DB"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56E7CED5"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interim financial statements do not include all of the information required for full annual financial statements and do not comply with all the disclosures in IAS 34 'Interim financial reporting'. Accordingly, whilst the interim statements have been prepared in accordance with IFRSs, they cannot be construed as being in full compliance with IFRSs.</w:t>
      </w:r>
    </w:p>
    <w:p w14:paraId="15F6A1F7"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31B03961" w14:textId="25BE242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financial information for the year ended 30 September 201</w:t>
      </w:r>
      <w:r w:rsidR="003A1383">
        <w:rPr>
          <w:rFonts w:ascii="Arial" w:eastAsia="Times New Roman" w:hAnsi="Arial" w:cs="Arial"/>
          <w:color w:val="000000"/>
          <w:sz w:val="20"/>
          <w:szCs w:val="20"/>
          <w:lang w:eastAsia="en-GB"/>
        </w:rPr>
        <w:t>9</w:t>
      </w:r>
      <w:r w:rsidRPr="002F44AF">
        <w:rPr>
          <w:rFonts w:ascii="Arial" w:eastAsia="Times New Roman" w:hAnsi="Arial" w:cs="Arial"/>
          <w:color w:val="000000"/>
          <w:sz w:val="20"/>
          <w:szCs w:val="20"/>
          <w:lang w:eastAsia="en-GB"/>
        </w:rPr>
        <w:t xml:space="preserve"> does not constitute the full statutory accounts for that period. The annual report and financial statements for the year ended 30 September 201</w:t>
      </w:r>
      <w:r w:rsidR="003A1383">
        <w:rPr>
          <w:rFonts w:ascii="Arial" w:eastAsia="Times New Roman" w:hAnsi="Arial" w:cs="Arial"/>
          <w:color w:val="000000"/>
          <w:sz w:val="20"/>
          <w:szCs w:val="20"/>
          <w:lang w:eastAsia="en-GB"/>
        </w:rPr>
        <w:t>9</w:t>
      </w:r>
      <w:r w:rsidRPr="002F44AF">
        <w:rPr>
          <w:rFonts w:ascii="Arial" w:eastAsia="Times New Roman" w:hAnsi="Arial" w:cs="Arial"/>
          <w:color w:val="000000"/>
          <w:sz w:val="20"/>
          <w:szCs w:val="20"/>
          <w:lang w:eastAsia="en-GB"/>
        </w:rPr>
        <w:t xml:space="preserve"> have been filed with the Registrar of Companies. The Independent auditor's report on the report and financial statements for the year ended 30 September 201</w:t>
      </w:r>
      <w:r w:rsidR="003A1383">
        <w:rPr>
          <w:rFonts w:ascii="Arial" w:eastAsia="Times New Roman" w:hAnsi="Arial" w:cs="Arial"/>
          <w:color w:val="000000"/>
          <w:sz w:val="20"/>
          <w:szCs w:val="20"/>
          <w:lang w:eastAsia="en-GB"/>
        </w:rPr>
        <w:t>9</w:t>
      </w:r>
      <w:r w:rsidRPr="002F44AF">
        <w:rPr>
          <w:rFonts w:ascii="Arial" w:eastAsia="Times New Roman" w:hAnsi="Arial" w:cs="Arial"/>
          <w:color w:val="000000"/>
          <w:sz w:val="20"/>
          <w:szCs w:val="20"/>
          <w:lang w:eastAsia="en-GB"/>
        </w:rPr>
        <w:t xml:space="preserve"> was unqualified, did not draw attention to any matters by way of emphasis, and did not contain a statement under Section 498(2) or 498(3) of the Companies Act 2006.</w:t>
      </w:r>
    </w:p>
    <w:p w14:paraId="5095FE00"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253E35F2"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2 Going concern</w:t>
      </w:r>
    </w:p>
    <w:p w14:paraId="5EA846A0"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interim financial information has been prepared on a going concern basis, which assumes that the Company will have adequate resources to continue in operational existence for the foreseeable future.</w:t>
      </w:r>
    </w:p>
    <w:p w14:paraId="78AA4D6D"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38693E9E"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3 Earnings per share ('EPS')</w:t>
      </w:r>
    </w:p>
    <w:p w14:paraId="3893FC28" w14:textId="5A7A1FC8" w:rsidR="002C5B2A" w:rsidRPr="00886AA9" w:rsidRDefault="002C5B2A" w:rsidP="002C5B2A">
      <w:pPr>
        <w:spacing w:before="40" w:after="40" w:line="207" w:lineRule="atLeast"/>
        <w:rPr>
          <w:rFonts w:ascii="Arial" w:eastAsia="Times New Roman" w:hAnsi="Arial" w:cs="Arial"/>
          <w:color w:val="000000"/>
          <w:sz w:val="18"/>
          <w:szCs w:val="18"/>
          <w:lang w:eastAsia="en-GB"/>
        </w:rPr>
      </w:pPr>
      <w:r w:rsidRPr="00886AA9">
        <w:rPr>
          <w:rFonts w:ascii="Arial" w:eastAsia="Times New Roman" w:hAnsi="Arial" w:cs="Arial"/>
          <w:color w:val="000000"/>
          <w:sz w:val="20"/>
          <w:szCs w:val="20"/>
          <w:lang w:eastAsia="en-GB"/>
        </w:rPr>
        <w:t xml:space="preserve">Basic earnings per ordinary share is based on the </w:t>
      </w:r>
      <w:r w:rsidR="00886AA9" w:rsidRPr="00886AA9">
        <w:rPr>
          <w:rFonts w:ascii="Arial" w:eastAsia="Times New Roman" w:hAnsi="Arial" w:cs="Arial"/>
          <w:color w:val="000000"/>
          <w:sz w:val="20"/>
          <w:szCs w:val="20"/>
          <w:lang w:eastAsia="en-GB"/>
        </w:rPr>
        <w:t>profit</w:t>
      </w:r>
      <w:r w:rsidRPr="00886AA9">
        <w:rPr>
          <w:rFonts w:ascii="Arial" w:eastAsia="Times New Roman" w:hAnsi="Arial" w:cs="Arial"/>
          <w:color w:val="000000"/>
          <w:sz w:val="20"/>
          <w:szCs w:val="20"/>
          <w:lang w:eastAsia="en-GB"/>
        </w:rPr>
        <w:t xml:space="preserve"> on ordinary activities before taxation of £</w:t>
      </w:r>
      <w:r w:rsidR="00886AA9" w:rsidRPr="00886AA9">
        <w:rPr>
          <w:rFonts w:ascii="Arial" w:eastAsia="Times New Roman" w:hAnsi="Arial" w:cs="Arial"/>
          <w:color w:val="000000"/>
          <w:sz w:val="20"/>
          <w:szCs w:val="20"/>
          <w:lang w:eastAsia="en-GB"/>
        </w:rPr>
        <w:t>180,400</w:t>
      </w:r>
      <w:r w:rsidRPr="00886AA9">
        <w:rPr>
          <w:rFonts w:ascii="Arial" w:eastAsia="Times New Roman" w:hAnsi="Arial" w:cs="Arial"/>
          <w:color w:val="000000"/>
          <w:sz w:val="20"/>
          <w:szCs w:val="20"/>
          <w:lang w:eastAsia="en-GB"/>
        </w:rPr>
        <w:t xml:space="preserve"> and on 136,354,577 ordinary shares in issue throughout the period.</w:t>
      </w:r>
    </w:p>
    <w:p w14:paraId="203D4C52" w14:textId="77777777" w:rsidR="002C5B2A" w:rsidRPr="00886AA9" w:rsidRDefault="002C5B2A" w:rsidP="002C5B2A">
      <w:pPr>
        <w:spacing w:before="40" w:after="40" w:line="207" w:lineRule="atLeast"/>
        <w:rPr>
          <w:rFonts w:ascii="Arial" w:eastAsia="Times New Roman" w:hAnsi="Arial" w:cs="Arial"/>
          <w:color w:val="000000"/>
          <w:sz w:val="18"/>
          <w:szCs w:val="18"/>
          <w:lang w:eastAsia="en-GB"/>
        </w:rPr>
      </w:pPr>
      <w:r w:rsidRPr="00886AA9">
        <w:rPr>
          <w:rFonts w:ascii="Arial" w:eastAsia="Times New Roman" w:hAnsi="Arial" w:cs="Arial"/>
          <w:color w:val="000000"/>
          <w:sz w:val="20"/>
          <w:szCs w:val="20"/>
          <w:lang w:eastAsia="en-GB"/>
        </w:rPr>
        <w:t> </w:t>
      </w:r>
    </w:p>
    <w:p w14:paraId="6AA5ABB2" w14:textId="77777777" w:rsidR="002C5B2A" w:rsidRPr="002F44AF" w:rsidRDefault="002C5B2A" w:rsidP="002C5B2A">
      <w:pPr>
        <w:spacing w:after="0" w:line="240" w:lineRule="auto"/>
        <w:jc w:val="both"/>
        <w:rPr>
          <w:rFonts w:ascii="Times New Roman" w:eastAsia="Times New Roman" w:hAnsi="Times New Roman" w:cs="Times New Roman"/>
          <w:color w:val="000000"/>
          <w:sz w:val="20"/>
          <w:szCs w:val="20"/>
          <w:lang w:eastAsia="en-GB"/>
        </w:rPr>
      </w:pPr>
      <w:r w:rsidRPr="00886AA9">
        <w:rPr>
          <w:rFonts w:ascii="Arial" w:eastAsia="Times New Roman" w:hAnsi="Arial" w:cs="Arial"/>
          <w:color w:val="000000"/>
          <w:sz w:val="20"/>
          <w:szCs w:val="20"/>
          <w:lang w:eastAsia="en-GB"/>
        </w:rPr>
        <w:t>Diluted profit per share is calculated by adjusting the weighted average number of ordinary shares in issue on the assumption of conversion of dilutive potential ordinary shares, based on the share price at the end of the period.  The Company's dilutive potential ordinary shares are shares issued under the Company's Enterprise Management Incentive ('EMI') scheme and options issued under the Company's Unapproved scheme.</w:t>
      </w:r>
    </w:p>
    <w:p w14:paraId="70B8B78F" w14:textId="77777777" w:rsidR="002C5B2A" w:rsidRPr="002F44AF" w:rsidRDefault="002C5B2A" w:rsidP="002C5B2A">
      <w:pPr>
        <w:spacing w:before="40" w:after="40" w:line="207" w:lineRule="atLeast"/>
        <w:jc w:val="both"/>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7966D85D"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4 IFRS 2 'Share-based payments'</w:t>
      </w:r>
    </w:p>
    <w:p w14:paraId="79876BE1" w14:textId="7AE8BF2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Operating expenses includes a charge of £</w:t>
      </w:r>
      <w:r w:rsidR="003A1383">
        <w:rPr>
          <w:rFonts w:ascii="Arial" w:eastAsia="Times New Roman" w:hAnsi="Arial" w:cs="Arial"/>
          <w:color w:val="000000"/>
          <w:sz w:val="20"/>
          <w:szCs w:val="20"/>
          <w:lang w:eastAsia="en-GB"/>
        </w:rPr>
        <w:t>3,877</w:t>
      </w:r>
      <w:r w:rsidRPr="002F44AF">
        <w:rPr>
          <w:rFonts w:ascii="Arial" w:eastAsia="Times New Roman" w:hAnsi="Arial" w:cs="Arial"/>
          <w:color w:val="000000"/>
          <w:sz w:val="20"/>
          <w:szCs w:val="20"/>
          <w:lang w:eastAsia="en-GB"/>
        </w:rPr>
        <w:t xml:space="preserve"> (201</w:t>
      </w:r>
      <w:r w:rsidR="003A1383">
        <w:rPr>
          <w:rFonts w:ascii="Arial" w:eastAsia="Times New Roman" w:hAnsi="Arial" w:cs="Arial"/>
          <w:color w:val="000000"/>
          <w:sz w:val="20"/>
          <w:szCs w:val="20"/>
          <w:lang w:eastAsia="en-GB"/>
        </w:rPr>
        <w:t>9</w:t>
      </w:r>
      <w:r w:rsidRPr="002F44AF">
        <w:rPr>
          <w:rFonts w:ascii="Arial" w:eastAsia="Times New Roman" w:hAnsi="Arial" w:cs="Arial"/>
          <w:color w:val="000000"/>
          <w:sz w:val="20"/>
          <w:szCs w:val="20"/>
          <w:lang w:eastAsia="en-GB"/>
        </w:rPr>
        <w:t>: £</w:t>
      </w:r>
      <w:r w:rsidR="003A1383">
        <w:rPr>
          <w:rFonts w:ascii="Arial" w:eastAsia="Times New Roman" w:hAnsi="Arial" w:cs="Arial"/>
          <w:color w:val="000000"/>
          <w:sz w:val="20"/>
          <w:szCs w:val="20"/>
          <w:lang w:eastAsia="en-GB"/>
        </w:rPr>
        <w:t>2,777</w:t>
      </w:r>
      <w:r w:rsidRPr="002F44AF">
        <w:rPr>
          <w:rFonts w:ascii="Arial" w:eastAsia="Times New Roman" w:hAnsi="Arial" w:cs="Arial"/>
          <w:color w:val="000000"/>
          <w:sz w:val="20"/>
          <w:szCs w:val="20"/>
          <w:lang w:eastAsia="en-GB"/>
        </w:rPr>
        <w:t>) after valuation of the Company's employee share option schemes in accordance with IFRS 2. Under this standard, the fair value of the options at the grant date is spread over the vesting period. These charges have been credited to equity in accordance with IFRS2 as presented in the consolidated statement of changes in equity.</w:t>
      </w:r>
    </w:p>
    <w:p w14:paraId="5B429FEE"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25FE5DC8"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5 Additional copies</w:t>
      </w:r>
    </w:p>
    <w:p w14:paraId="2A607FD9" w14:textId="3C442B6F"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Further copies of the 20</w:t>
      </w:r>
      <w:r w:rsidR="003A1383">
        <w:rPr>
          <w:rFonts w:ascii="Arial" w:eastAsia="Times New Roman" w:hAnsi="Arial" w:cs="Arial"/>
          <w:color w:val="000000"/>
          <w:sz w:val="20"/>
          <w:szCs w:val="20"/>
          <w:lang w:eastAsia="en-GB"/>
        </w:rPr>
        <w:t>20</w:t>
      </w:r>
      <w:r w:rsidRPr="002F44AF">
        <w:rPr>
          <w:rFonts w:ascii="Arial" w:eastAsia="Times New Roman" w:hAnsi="Arial" w:cs="Arial"/>
          <w:color w:val="000000"/>
          <w:sz w:val="20"/>
          <w:szCs w:val="20"/>
          <w:lang w:eastAsia="en-GB"/>
        </w:rPr>
        <w:t xml:space="preserve"> interim report are available on the Company's website, www.ish.co.uk, and from the Company's registered office, 16-18 Hayhill Industrial Estate, Sileby Road, Barrow-upon-Soar, Leicestershire LE12 8LD.</w:t>
      </w:r>
    </w:p>
    <w:p w14:paraId="53157887" w14:textId="77777777" w:rsidR="002C5B2A" w:rsidRPr="002F44AF" w:rsidRDefault="002C5B2A" w:rsidP="002C5B2A">
      <w:pPr>
        <w:spacing w:after="0" w:line="360" w:lineRule="atLeast"/>
        <w:rPr>
          <w:rFonts w:ascii="Arial" w:eastAsia="Times New Roman" w:hAnsi="Arial" w:cs="Arial"/>
          <w:color w:val="000000"/>
          <w:sz w:val="32"/>
          <w:szCs w:val="32"/>
          <w:lang w:eastAsia="en-GB"/>
        </w:rPr>
      </w:pPr>
      <w:r w:rsidRPr="002F44AF">
        <w:rPr>
          <w:rFonts w:ascii="Arial" w:eastAsia="Times New Roman" w:hAnsi="Arial" w:cs="Arial"/>
          <w:color w:val="000000"/>
          <w:sz w:val="20"/>
          <w:szCs w:val="20"/>
          <w:lang w:eastAsia="en-GB"/>
        </w:rPr>
        <w:t> </w:t>
      </w:r>
    </w:p>
    <w:p w14:paraId="79BDC4EE" w14:textId="77777777" w:rsidR="002C5B2A" w:rsidRPr="002F44AF" w:rsidRDefault="002C5B2A" w:rsidP="002C5B2A">
      <w:pPr>
        <w:spacing w:after="0" w:line="253" w:lineRule="atLeast"/>
        <w:jc w:val="both"/>
        <w:rPr>
          <w:rFonts w:ascii="Calibri" w:eastAsia="Times New Roman" w:hAnsi="Calibri" w:cs="Calibri"/>
          <w:color w:val="000000"/>
          <w:lang w:eastAsia="en-GB"/>
        </w:rPr>
      </w:pPr>
      <w:r w:rsidRPr="002F44AF">
        <w:rPr>
          <w:rFonts w:ascii="Arial" w:eastAsia="Times New Roman" w:hAnsi="Arial" w:cs="Arial"/>
          <w:color w:val="000000"/>
          <w:sz w:val="20"/>
          <w:szCs w:val="20"/>
          <w:lang w:eastAsia="en-GB"/>
        </w:rPr>
        <w:t> </w:t>
      </w:r>
    </w:p>
    <w:p w14:paraId="0038E244" w14:textId="77777777" w:rsidR="002C5B2A" w:rsidRPr="002F44AF" w:rsidRDefault="002C5B2A" w:rsidP="002C5B2A">
      <w:pPr>
        <w:spacing w:line="253" w:lineRule="atLeast"/>
        <w:rPr>
          <w:rFonts w:ascii="Calibri" w:eastAsia="Times New Roman" w:hAnsi="Calibri" w:cs="Calibri"/>
          <w:b/>
          <w:bCs/>
          <w:color w:val="000000"/>
          <w:lang w:eastAsia="en-GB"/>
        </w:rPr>
      </w:pPr>
      <w:r w:rsidRPr="002F44AF">
        <w:rPr>
          <w:rFonts w:ascii="Arial" w:eastAsia="Times New Roman" w:hAnsi="Arial" w:cs="Arial"/>
          <w:b/>
          <w:bCs/>
          <w:color w:val="000000"/>
          <w:sz w:val="20"/>
          <w:szCs w:val="20"/>
          <w:lang w:eastAsia="en-GB"/>
        </w:rPr>
        <w:t> </w:t>
      </w:r>
    </w:p>
    <w:p w14:paraId="50F1DE06" w14:textId="77777777" w:rsidR="009943B2" w:rsidRPr="00B60027" w:rsidRDefault="009943B2">
      <w:pPr>
        <w:rPr>
          <w:rFonts w:ascii="Arial" w:hAnsi="Arial" w:cs="Arial"/>
          <w:b/>
          <w:bCs/>
          <w:sz w:val="30"/>
          <w:szCs w:val="30"/>
        </w:rPr>
      </w:pPr>
    </w:p>
    <w:sectPr w:rsidR="009943B2" w:rsidRPr="00B600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2EB8" w14:textId="77777777" w:rsidR="004427C8" w:rsidRDefault="00806109">
      <w:pPr>
        <w:spacing w:after="0" w:line="240" w:lineRule="auto"/>
      </w:pPr>
      <w:r>
        <w:separator/>
      </w:r>
    </w:p>
  </w:endnote>
  <w:endnote w:type="continuationSeparator" w:id="0">
    <w:p w14:paraId="53829B1A" w14:textId="77777777" w:rsidR="004427C8" w:rsidRDefault="0080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AEC1" w14:textId="38BF53A1" w:rsidR="00113D47" w:rsidRPr="00F13A26" w:rsidRDefault="00C12495" w:rsidP="00F13A26">
    <w:pPr>
      <w:pStyle w:val="Footer"/>
      <w:tabs>
        <w:tab w:val="clear" w:pos="4513"/>
        <w:tab w:val="clear" w:pos="9026"/>
        <w:tab w:val="left" w:pos="284"/>
      </w:tabs>
      <w:rPr>
        <w:rFonts w:ascii="Arial" w:hAnsi="Arial" w:cs="Arial"/>
        <w:sz w:val="14"/>
        <w:szCs w:val="14"/>
      </w:rPr>
    </w:pPr>
    <w:r w:rsidRPr="00F13A26">
      <w:rPr>
        <w:rFonts w:ascii="Arial" w:hAnsi="Arial" w:cs="Arial"/>
        <w:b/>
        <w:sz w:val="14"/>
        <w:szCs w:val="14"/>
      </w:rPr>
      <w:t>Image Scan Holdings plc</w:t>
    </w:r>
    <w:r>
      <w:rPr>
        <w:rFonts w:ascii="Arial" w:hAnsi="Arial" w:cs="Arial"/>
        <w:sz w:val="14"/>
        <w:szCs w:val="14"/>
      </w:rPr>
      <w:t xml:space="preserve"> interim report 20</w:t>
    </w:r>
    <w:r w:rsidR="008C7EF3">
      <w:rPr>
        <w:rFonts w:ascii="Arial" w:hAnsi="Arial" w:cs="Arial"/>
        <w:sz w:val="14"/>
        <w:szCs w:val="14"/>
      </w:rPr>
      <w:t>20</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F13A26">
      <w:rPr>
        <w:rFonts w:ascii="Arial" w:hAnsi="Arial" w:cs="Arial"/>
        <w:sz w:val="14"/>
        <w:szCs w:val="14"/>
      </w:rPr>
      <w:fldChar w:fldCharType="begin"/>
    </w:r>
    <w:r w:rsidRPr="00F13A26">
      <w:rPr>
        <w:rFonts w:ascii="Arial" w:hAnsi="Arial" w:cs="Arial"/>
        <w:sz w:val="14"/>
        <w:szCs w:val="14"/>
      </w:rPr>
      <w:instrText xml:space="preserve"> PAGE   \* MERGEFORMAT </w:instrText>
    </w:r>
    <w:r w:rsidRPr="00F13A26">
      <w:rPr>
        <w:rFonts w:ascii="Arial" w:hAnsi="Arial" w:cs="Arial"/>
        <w:sz w:val="14"/>
        <w:szCs w:val="14"/>
      </w:rPr>
      <w:fldChar w:fldCharType="separate"/>
    </w:r>
    <w:r w:rsidR="008F0CE5">
      <w:rPr>
        <w:rFonts w:ascii="Arial" w:hAnsi="Arial" w:cs="Arial"/>
        <w:noProof/>
        <w:sz w:val="14"/>
        <w:szCs w:val="14"/>
      </w:rPr>
      <w:t>8</w:t>
    </w:r>
    <w:r w:rsidRPr="00F13A26">
      <w:rPr>
        <w:rFonts w:ascii="Arial" w:hAnsi="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6F9D" w14:textId="77777777" w:rsidR="004427C8" w:rsidRDefault="00806109">
      <w:pPr>
        <w:spacing w:after="0" w:line="240" w:lineRule="auto"/>
      </w:pPr>
      <w:r>
        <w:separator/>
      </w:r>
    </w:p>
  </w:footnote>
  <w:footnote w:type="continuationSeparator" w:id="0">
    <w:p w14:paraId="7496F1B1" w14:textId="77777777" w:rsidR="004427C8" w:rsidRDefault="00806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6AE"/>
    <w:multiLevelType w:val="hybridMultilevel"/>
    <w:tmpl w:val="54780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A07E9"/>
    <w:multiLevelType w:val="hybridMultilevel"/>
    <w:tmpl w:val="31E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27"/>
    <w:rsid w:val="0000061B"/>
    <w:rsid w:val="00001256"/>
    <w:rsid w:val="000016EB"/>
    <w:rsid w:val="000032F8"/>
    <w:rsid w:val="00003822"/>
    <w:rsid w:val="000045B0"/>
    <w:rsid w:val="000050D4"/>
    <w:rsid w:val="00005325"/>
    <w:rsid w:val="00005EAF"/>
    <w:rsid w:val="00007F5E"/>
    <w:rsid w:val="00010758"/>
    <w:rsid w:val="00010C38"/>
    <w:rsid w:val="00010ED0"/>
    <w:rsid w:val="00011610"/>
    <w:rsid w:val="00015BA2"/>
    <w:rsid w:val="000171E2"/>
    <w:rsid w:val="00017E9F"/>
    <w:rsid w:val="0002012C"/>
    <w:rsid w:val="00022C18"/>
    <w:rsid w:val="00023E29"/>
    <w:rsid w:val="000250E8"/>
    <w:rsid w:val="00025C84"/>
    <w:rsid w:val="00030FA2"/>
    <w:rsid w:val="0003495F"/>
    <w:rsid w:val="000404BB"/>
    <w:rsid w:val="00040A12"/>
    <w:rsid w:val="000411FB"/>
    <w:rsid w:val="00041CFC"/>
    <w:rsid w:val="00042309"/>
    <w:rsid w:val="00042664"/>
    <w:rsid w:val="00043AA9"/>
    <w:rsid w:val="00043D5D"/>
    <w:rsid w:val="00044E26"/>
    <w:rsid w:val="00046B49"/>
    <w:rsid w:val="00046BE0"/>
    <w:rsid w:val="00047EA0"/>
    <w:rsid w:val="00054619"/>
    <w:rsid w:val="00055773"/>
    <w:rsid w:val="0005652C"/>
    <w:rsid w:val="00057557"/>
    <w:rsid w:val="00061160"/>
    <w:rsid w:val="00061C84"/>
    <w:rsid w:val="00062AF7"/>
    <w:rsid w:val="00062F9A"/>
    <w:rsid w:val="00066207"/>
    <w:rsid w:val="000674C8"/>
    <w:rsid w:val="000722FF"/>
    <w:rsid w:val="00072799"/>
    <w:rsid w:val="0007340A"/>
    <w:rsid w:val="00074E43"/>
    <w:rsid w:val="00075365"/>
    <w:rsid w:val="00075F03"/>
    <w:rsid w:val="00080267"/>
    <w:rsid w:val="0008073E"/>
    <w:rsid w:val="000851AF"/>
    <w:rsid w:val="00093427"/>
    <w:rsid w:val="00094E75"/>
    <w:rsid w:val="000956CB"/>
    <w:rsid w:val="000A095C"/>
    <w:rsid w:val="000A0DD6"/>
    <w:rsid w:val="000A181A"/>
    <w:rsid w:val="000A19A7"/>
    <w:rsid w:val="000A35A5"/>
    <w:rsid w:val="000A5095"/>
    <w:rsid w:val="000A5F3C"/>
    <w:rsid w:val="000A661F"/>
    <w:rsid w:val="000B3671"/>
    <w:rsid w:val="000B5D94"/>
    <w:rsid w:val="000B642A"/>
    <w:rsid w:val="000B7ADF"/>
    <w:rsid w:val="000C144F"/>
    <w:rsid w:val="000C2764"/>
    <w:rsid w:val="000C33AF"/>
    <w:rsid w:val="000C6A49"/>
    <w:rsid w:val="000C78C6"/>
    <w:rsid w:val="000C7906"/>
    <w:rsid w:val="000D21A3"/>
    <w:rsid w:val="000D6181"/>
    <w:rsid w:val="000D7AD3"/>
    <w:rsid w:val="000D7B17"/>
    <w:rsid w:val="000E0638"/>
    <w:rsid w:val="000E21DD"/>
    <w:rsid w:val="000E33CA"/>
    <w:rsid w:val="000E420E"/>
    <w:rsid w:val="000E6F6A"/>
    <w:rsid w:val="000F09AF"/>
    <w:rsid w:val="000F0D21"/>
    <w:rsid w:val="000F0E65"/>
    <w:rsid w:val="000F141D"/>
    <w:rsid w:val="000F2AC9"/>
    <w:rsid w:val="000F2AE9"/>
    <w:rsid w:val="000F3697"/>
    <w:rsid w:val="000F5F03"/>
    <w:rsid w:val="000F6FBD"/>
    <w:rsid w:val="000F7BC1"/>
    <w:rsid w:val="00101943"/>
    <w:rsid w:val="00102161"/>
    <w:rsid w:val="00102615"/>
    <w:rsid w:val="00102FED"/>
    <w:rsid w:val="00104CC6"/>
    <w:rsid w:val="00111EE6"/>
    <w:rsid w:val="0011233F"/>
    <w:rsid w:val="0012081A"/>
    <w:rsid w:val="00122026"/>
    <w:rsid w:val="001224B8"/>
    <w:rsid w:val="00123466"/>
    <w:rsid w:val="001252C7"/>
    <w:rsid w:val="00125863"/>
    <w:rsid w:val="001262E3"/>
    <w:rsid w:val="0013086A"/>
    <w:rsid w:val="0013146A"/>
    <w:rsid w:val="001326E0"/>
    <w:rsid w:val="0013334A"/>
    <w:rsid w:val="001344B0"/>
    <w:rsid w:val="00137075"/>
    <w:rsid w:val="00137474"/>
    <w:rsid w:val="00137554"/>
    <w:rsid w:val="001437BC"/>
    <w:rsid w:val="00144FA8"/>
    <w:rsid w:val="001451DF"/>
    <w:rsid w:val="00145BF1"/>
    <w:rsid w:val="0014700E"/>
    <w:rsid w:val="001549A5"/>
    <w:rsid w:val="00155D5A"/>
    <w:rsid w:val="001579A7"/>
    <w:rsid w:val="00157F2B"/>
    <w:rsid w:val="00163A72"/>
    <w:rsid w:val="00164C3D"/>
    <w:rsid w:val="00165EA1"/>
    <w:rsid w:val="00171A3F"/>
    <w:rsid w:val="00172E23"/>
    <w:rsid w:val="00174C3C"/>
    <w:rsid w:val="001752D7"/>
    <w:rsid w:val="00176814"/>
    <w:rsid w:val="001770D1"/>
    <w:rsid w:val="001772D8"/>
    <w:rsid w:val="0017785D"/>
    <w:rsid w:val="00177915"/>
    <w:rsid w:val="00177E0C"/>
    <w:rsid w:val="00180B7F"/>
    <w:rsid w:val="00182D98"/>
    <w:rsid w:val="0018311F"/>
    <w:rsid w:val="0018534E"/>
    <w:rsid w:val="00187B16"/>
    <w:rsid w:val="00190B1B"/>
    <w:rsid w:val="00192A97"/>
    <w:rsid w:val="00195D29"/>
    <w:rsid w:val="001A2C37"/>
    <w:rsid w:val="001A34C2"/>
    <w:rsid w:val="001A4E44"/>
    <w:rsid w:val="001A4F9C"/>
    <w:rsid w:val="001A6827"/>
    <w:rsid w:val="001A6B86"/>
    <w:rsid w:val="001B1382"/>
    <w:rsid w:val="001B1E0A"/>
    <w:rsid w:val="001B2836"/>
    <w:rsid w:val="001B3771"/>
    <w:rsid w:val="001B4425"/>
    <w:rsid w:val="001B5378"/>
    <w:rsid w:val="001B7E2D"/>
    <w:rsid w:val="001C1368"/>
    <w:rsid w:val="001C4335"/>
    <w:rsid w:val="001C47BE"/>
    <w:rsid w:val="001C6C9A"/>
    <w:rsid w:val="001D0AD4"/>
    <w:rsid w:val="001D2D5A"/>
    <w:rsid w:val="001D377D"/>
    <w:rsid w:val="001D61B2"/>
    <w:rsid w:val="001D74D2"/>
    <w:rsid w:val="001E2E60"/>
    <w:rsid w:val="001E47A7"/>
    <w:rsid w:val="001F2E59"/>
    <w:rsid w:val="001F3E36"/>
    <w:rsid w:val="001F42E8"/>
    <w:rsid w:val="001F5629"/>
    <w:rsid w:val="001F5DDE"/>
    <w:rsid w:val="001F5FC0"/>
    <w:rsid w:val="00200F59"/>
    <w:rsid w:val="00205ED2"/>
    <w:rsid w:val="002061C9"/>
    <w:rsid w:val="00210FB1"/>
    <w:rsid w:val="00211113"/>
    <w:rsid w:val="00211A91"/>
    <w:rsid w:val="002131EA"/>
    <w:rsid w:val="002155B0"/>
    <w:rsid w:val="00224385"/>
    <w:rsid w:val="00225930"/>
    <w:rsid w:val="00225C6D"/>
    <w:rsid w:val="00227196"/>
    <w:rsid w:val="00233468"/>
    <w:rsid w:val="0023391C"/>
    <w:rsid w:val="00236A7A"/>
    <w:rsid w:val="00243848"/>
    <w:rsid w:val="00244560"/>
    <w:rsid w:val="00246FDD"/>
    <w:rsid w:val="002519AE"/>
    <w:rsid w:val="00251C70"/>
    <w:rsid w:val="0025223F"/>
    <w:rsid w:val="002523D9"/>
    <w:rsid w:val="00252A6C"/>
    <w:rsid w:val="002564C6"/>
    <w:rsid w:val="00262F66"/>
    <w:rsid w:val="00263F25"/>
    <w:rsid w:val="00264B81"/>
    <w:rsid w:val="00265386"/>
    <w:rsid w:val="0026550A"/>
    <w:rsid w:val="002714FE"/>
    <w:rsid w:val="00271B69"/>
    <w:rsid w:val="00273091"/>
    <w:rsid w:val="002766ED"/>
    <w:rsid w:val="002767A7"/>
    <w:rsid w:val="002801D1"/>
    <w:rsid w:val="00281DC3"/>
    <w:rsid w:val="00284A1E"/>
    <w:rsid w:val="0028674E"/>
    <w:rsid w:val="00287CF0"/>
    <w:rsid w:val="0029153A"/>
    <w:rsid w:val="00291684"/>
    <w:rsid w:val="00293CB7"/>
    <w:rsid w:val="00294076"/>
    <w:rsid w:val="002968DF"/>
    <w:rsid w:val="00296D79"/>
    <w:rsid w:val="00297D0E"/>
    <w:rsid w:val="002A29A8"/>
    <w:rsid w:val="002A30A2"/>
    <w:rsid w:val="002A4F68"/>
    <w:rsid w:val="002A4FBA"/>
    <w:rsid w:val="002A5C3F"/>
    <w:rsid w:val="002A79DF"/>
    <w:rsid w:val="002A7BD6"/>
    <w:rsid w:val="002B216E"/>
    <w:rsid w:val="002B311C"/>
    <w:rsid w:val="002B427D"/>
    <w:rsid w:val="002B4ADD"/>
    <w:rsid w:val="002B5231"/>
    <w:rsid w:val="002B5EF0"/>
    <w:rsid w:val="002B6304"/>
    <w:rsid w:val="002B6F75"/>
    <w:rsid w:val="002C0259"/>
    <w:rsid w:val="002C19E7"/>
    <w:rsid w:val="002C3BE5"/>
    <w:rsid w:val="002C4CA2"/>
    <w:rsid w:val="002C5B2A"/>
    <w:rsid w:val="002C6002"/>
    <w:rsid w:val="002D1D0D"/>
    <w:rsid w:val="002D350E"/>
    <w:rsid w:val="002D55F0"/>
    <w:rsid w:val="002E1508"/>
    <w:rsid w:val="002E4839"/>
    <w:rsid w:val="002E6882"/>
    <w:rsid w:val="002E788B"/>
    <w:rsid w:val="002F0A25"/>
    <w:rsid w:val="002F0D35"/>
    <w:rsid w:val="002F21EC"/>
    <w:rsid w:val="002F335D"/>
    <w:rsid w:val="002F6BE0"/>
    <w:rsid w:val="003014DC"/>
    <w:rsid w:val="00304140"/>
    <w:rsid w:val="00304AFE"/>
    <w:rsid w:val="00306536"/>
    <w:rsid w:val="00306F80"/>
    <w:rsid w:val="00306F98"/>
    <w:rsid w:val="00311726"/>
    <w:rsid w:val="003121F8"/>
    <w:rsid w:val="00313D02"/>
    <w:rsid w:val="00314188"/>
    <w:rsid w:val="0031641F"/>
    <w:rsid w:val="003172C2"/>
    <w:rsid w:val="00322911"/>
    <w:rsid w:val="003235F4"/>
    <w:rsid w:val="00324EB6"/>
    <w:rsid w:val="003266FF"/>
    <w:rsid w:val="00327461"/>
    <w:rsid w:val="00333249"/>
    <w:rsid w:val="00334A42"/>
    <w:rsid w:val="0033502C"/>
    <w:rsid w:val="00335892"/>
    <w:rsid w:val="00335D5A"/>
    <w:rsid w:val="00342319"/>
    <w:rsid w:val="00344492"/>
    <w:rsid w:val="00344C9C"/>
    <w:rsid w:val="0034530E"/>
    <w:rsid w:val="003458F3"/>
    <w:rsid w:val="003472AF"/>
    <w:rsid w:val="003501E6"/>
    <w:rsid w:val="0035255F"/>
    <w:rsid w:val="00355ED7"/>
    <w:rsid w:val="00357053"/>
    <w:rsid w:val="0035733F"/>
    <w:rsid w:val="00357750"/>
    <w:rsid w:val="00362CA2"/>
    <w:rsid w:val="00367ECF"/>
    <w:rsid w:val="00370D12"/>
    <w:rsid w:val="003735AC"/>
    <w:rsid w:val="00373B83"/>
    <w:rsid w:val="003758F8"/>
    <w:rsid w:val="00375CE8"/>
    <w:rsid w:val="00377326"/>
    <w:rsid w:val="003775D8"/>
    <w:rsid w:val="00384BC3"/>
    <w:rsid w:val="00384ED3"/>
    <w:rsid w:val="00387296"/>
    <w:rsid w:val="00387F48"/>
    <w:rsid w:val="003903BF"/>
    <w:rsid w:val="00390A4E"/>
    <w:rsid w:val="00390B8C"/>
    <w:rsid w:val="0039132C"/>
    <w:rsid w:val="00392EDC"/>
    <w:rsid w:val="0039354E"/>
    <w:rsid w:val="00394F76"/>
    <w:rsid w:val="003A1383"/>
    <w:rsid w:val="003A1F4D"/>
    <w:rsid w:val="003A285C"/>
    <w:rsid w:val="003A429F"/>
    <w:rsid w:val="003A731B"/>
    <w:rsid w:val="003B106B"/>
    <w:rsid w:val="003B1810"/>
    <w:rsid w:val="003B336A"/>
    <w:rsid w:val="003B5041"/>
    <w:rsid w:val="003B67B4"/>
    <w:rsid w:val="003B6CEB"/>
    <w:rsid w:val="003B74F5"/>
    <w:rsid w:val="003C2A64"/>
    <w:rsid w:val="003C3148"/>
    <w:rsid w:val="003C62E0"/>
    <w:rsid w:val="003C6BEB"/>
    <w:rsid w:val="003C796A"/>
    <w:rsid w:val="003D0019"/>
    <w:rsid w:val="003D22FC"/>
    <w:rsid w:val="003D24AA"/>
    <w:rsid w:val="003D38E1"/>
    <w:rsid w:val="003D398E"/>
    <w:rsid w:val="003E0B5A"/>
    <w:rsid w:val="003E1AC4"/>
    <w:rsid w:val="003E554C"/>
    <w:rsid w:val="003E6707"/>
    <w:rsid w:val="003E7D49"/>
    <w:rsid w:val="003F2C47"/>
    <w:rsid w:val="003F2E54"/>
    <w:rsid w:val="003F52A7"/>
    <w:rsid w:val="003F774D"/>
    <w:rsid w:val="003F77CE"/>
    <w:rsid w:val="003F7A20"/>
    <w:rsid w:val="00400CA8"/>
    <w:rsid w:val="00400D13"/>
    <w:rsid w:val="004026D3"/>
    <w:rsid w:val="00402EDE"/>
    <w:rsid w:val="00403F4D"/>
    <w:rsid w:val="00404FAB"/>
    <w:rsid w:val="004050A7"/>
    <w:rsid w:val="004051F6"/>
    <w:rsid w:val="00406172"/>
    <w:rsid w:val="0041221D"/>
    <w:rsid w:val="00412A5D"/>
    <w:rsid w:val="00416325"/>
    <w:rsid w:val="00416590"/>
    <w:rsid w:val="004206AB"/>
    <w:rsid w:val="004231ED"/>
    <w:rsid w:val="00424739"/>
    <w:rsid w:val="004248B4"/>
    <w:rsid w:val="004315E2"/>
    <w:rsid w:val="00433E7C"/>
    <w:rsid w:val="00434A1A"/>
    <w:rsid w:val="00434D2A"/>
    <w:rsid w:val="00435C20"/>
    <w:rsid w:val="004416EE"/>
    <w:rsid w:val="004427C8"/>
    <w:rsid w:val="00442AE8"/>
    <w:rsid w:val="00443762"/>
    <w:rsid w:val="00443F49"/>
    <w:rsid w:val="0044488E"/>
    <w:rsid w:val="00444F8D"/>
    <w:rsid w:val="00446D64"/>
    <w:rsid w:val="00447FDD"/>
    <w:rsid w:val="00450EFE"/>
    <w:rsid w:val="00451443"/>
    <w:rsid w:val="00451AC4"/>
    <w:rsid w:val="00452A7C"/>
    <w:rsid w:val="00452E13"/>
    <w:rsid w:val="004549E2"/>
    <w:rsid w:val="004566FA"/>
    <w:rsid w:val="00456A39"/>
    <w:rsid w:val="00460960"/>
    <w:rsid w:val="00461044"/>
    <w:rsid w:val="00463E1F"/>
    <w:rsid w:val="00464C4D"/>
    <w:rsid w:val="00465A2C"/>
    <w:rsid w:val="004747A0"/>
    <w:rsid w:val="004747B3"/>
    <w:rsid w:val="00474C76"/>
    <w:rsid w:val="00475701"/>
    <w:rsid w:val="00476232"/>
    <w:rsid w:val="00476E08"/>
    <w:rsid w:val="004804F0"/>
    <w:rsid w:val="00480D58"/>
    <w:rsid w:val="004832A7"/>
    <w:rsid w:val="0048387B"/>
    <w:rsid w:val="004838E4"/>
    <w:rsid w:val="004856AD"/>
    <w:rsid w:val="00485B1F"/>
    <w:rsid w:val="004861C2"/>
    <w:rsid w:val="00486410"/>
    <w:rsid w:val="0048652C"/>
    <w:rsid w:val="004871FD"/>
    <w:rsid w:val="004911C3"/>
    <w:rsid w:val="004920C6"/>
    <w:rsid w:val="00496AB1"/>
    <w:rsid w:val="00497438"/>
    <w:rsid w:val="004A0903"/>
    <w:rsid w:val="004A37F7"/>
    <w:rsid w:val="004A3D7E"/>
    <w:rsid w:val="004B203A"/>
    <w:rsid w:val="004B3C74"/>
    <w:rsid w:val="004B4E84"/>
    <w:rsid w:val="004B575E"/>
    <w:rsid w:val="004B7A44"/>
    <w:rsid w:val="004C069A"/>
    <w:rsid w:val="004C1147"/>
    <w:rsid w:val="004C291F"/>
    <w:rsid w:val="004C58FE"/>
    <w:rsid w:val="004C62F5"/>
    <w:rsid w:val="004C6B32"/>
    <w:rsid w:val="004C6DCF"/>
    <w:rsid w:val="004C79FD"/>
    <w:rsid w:val="004D1120"/>
    <w:rsid w:val="004D204B"/>
    <w:rsid w:val="004D455D"/>
    <w:rsid w:val="004D5360"/>
    <w:rsid w:val="004D5C2A"/>
    <w:rsid w:val="004D69A0"/>
    <w:rsid w:val="004E0997"/>
    <w:rsid w:val="004E0C9B"/>
    <w:rsid w:val="004E21F3"/>
    <w:rsid w:val="004E54CB"/>
    <w:rsid w:val="004E58BE"/>
    <w:rsid w:val="004E6AA5"/>
    <w:rsid w:val="004E6B13"/>
    <w:rsid w:val="004E707F"/>
    <w:rsid w:val="004F0E70"/>
    <w:rsid w:val="004F1478"/>
    <w:rsid w:val="004F35B2"/>
    <w:rsid w:val="004F763D"/>
    <w:rsid w:val="004F7FD3"/>
    <w:rsid w:val="005021F2"/>
    <w:rsid w:val="0050259B"/>
    <w:rsid w:val="00503D29"/>
    <w:rsid w:val="00504739"/>
    <w:rsid w:val="00505B41"/>
    <w:rsid w:val="005113A5"/>
    <w:rsid w:val="005113B7"/>
    <w:rsid w:val="005124DE"/>
    <w:rsid w:val="00513D22"/>
    <w:rsid w:val="00513ED7"/>
    <w:rsid w:val="00520952"/>
    <w:rsid w:val="0052294B"/>
    <w:rsid w:val="00524BA1"/>
    <w:rsid w:val="00525512"/>
    <w:rsid w:val="00525E8A"/>
    <w:rsid w:val="00526600"/>
    <w:rsid w:val="005273FB"/>
    <w:rsid w:val="00531D91"/>
    <w:rsid w:val="0053244E"/>
    <w:rsid w:val="00532D9B"/>
    <w:rsid w:val="00534CA1"/>
    <w:rsid w:val="00535559"/>
    <w:rsid w:val="00535806"/>
    <w:rsid w:val="00540364"/>
    <w:rsid w:val="00541592"/>
    <w:rsid w:val="00542A61"/>
    <w:rsid w:val="00543F92"/>
    <w:rsid w:val="00544BE7"/>
    <w:rsid w:val="00545CA2"/>
    <w:rsid w:val="00547675"/>
    <w:rsid w:val="005478D6"/>
    <w:rsid w:val="00551A3F"/>
    <w:rsid w:val="00552793"/>
    <w:rsid w:val="005532C5"/>
    <w:rsid w:val="00554BEC"/>
    <w:rsid w:val="00555131"/>
    <w:rsid w:val="0055528A"/>
    <w:rsid w:val="00555AC2"/>
    <w:rsid w:val="0055666F"/>
    <w:rsid w:val="005572D2"/>
    <w:rsid w:val="00561BFF"/>
    <w:rsid w:val="0056206E"/>
    <w:rsid w:val="00562F45"/>
    <w:rsid w:val="00564D6A"/>
    <w:rsid w:val="00565987"/>
    <w:rsid w:val="00570241"/>
    <w:rsid w:val="005704D6"/>
    <w:rsid w:val="0057054A"/>
    <w:rsid w:val="00570B01"/>
    <w:rsid w:val="00572B36"/>
    <w:rsid w:val="00572D7D"/>
    <w:rsid w:val="005732DB"/>
    <w:rsid w:val="00575D40"/>
    <w:rsid w:val="0057624D"/>
    <w:rsid w:val="0057645C"/>
    <w:rsid w:val="00582B26"/>
    <w:rsid w:val="005850BA"/>
    <w:rsid w:val="00587FD9"/>
    <w:rsid w:val="00590ACC"/>
    <w:rsid w:val="005939ED"/>
    <w:rsid w:val="00593A61"/>
    <w:rsid w:val="00596786"/>
    <w:rsid w:val="005A1491"/>
    <w:rsid w:val="005A516E"/>
    <w:rsid w:val="005A7ADB"/>
    <w:rsid w:val="005B05C9"/>
    <w:rsid w:val="005B078C"/>
    <w:rsid w:val="005B0996"/>
    <w:rsid w:val="005B09EA"/>
    <w:rsid w:val="005B5164"/>
    <w:rsid w:val="005B651B"/>
    <w:rsid w:val="005B69A6"/>
    <w:rsid w:val="005C0137"/>
    <w:rsid w:val="005C0409"/>
    <w:rsid w:val="005C0ED3"/>
    <w:rsid w:val="005C2DA0"/>
    <w:rsid w:val="005C3B70"/>
    <w:rsid w:val="005C504B"/>
    <w:rsid w:val="005C58F0"/>
    <w:rsid w:val="005D28CE"/>
    <w:rsid w:val="005D2B6F"/>
    <w:rsid w:val="005D3070"/>
    <w:rsid w:val="005D39FD"/>
    <w:rsid w:val="005D3DC8"/>
    <w:rsid w:val="005D6F7C"/>
    <w:rsid w:val="005D7051"/>
    <w:rsid w:val="005E1B7A"/>
    <w:rsid w:val="005E496E"/>
    <w:rsid w:val="005E4AFE"/>
    <w:rsid w:val="005E713E"/>
    <w:rsid w:val="005E7C48"/>
    <w:rsid w:val="005F3F86"/>
    <w:rsid w:val="005F43BE"/>
    <w:rsid w:val="005F4F15"/>
    <w:rsid w:val="005F4FD3"/>
    <w:rsid w:val="005F5500"/>
    <w:rsid w:val="005F5FF1"/>
    <w:rsid w:val="006005DE"/>
    <w:rsid w:val="006017C5"/>
    <w:rsid w:val="00604580"/>
    <w:rsid w:val="006047C9"/>
    <w:rsid w:val="00604AAA"/>
    <w:rsid w:val="00605B7D"/>
    <w:rsid w:val="00607676"/>
    <w:rsid w:val="00611BD7"/>
    <w:rsid w:val="00611DCD"/>
    <w:rsid w:val="00612DB6"/>
    <w:rsid w:val="006131E1"/>
    <w:rsid w:val="00615772"/>
    <w:rsid w:val="0061586B"/>
    <w:rsid w:val="00617D8C"/>
    <w:rsid w:val="00620C2B"/>
    <w:rsid w:val="00621F8D"/>
    <w:rsid w:val="0062249C"/>
    <w:rsid w:val="00623D72"/>
    <w:rsid w:val="00625252"/>
    <w:rsid w:val="00626237"/>
    <w:rsid w:val="0063434D"/>
    <w:rsid w:val="00636384"/>
    <w:rsid w:val="00637FC4"/>
    <w:rsid w:val="006404FC"/>
    <w:rsid w:val="00643499"/>
    <w:rsid w:val="006445D4"/>
    <w:rsid w:val="0064539D"/>
    <w:rsid w:val="00645886"/>
    <w:rsid w:val="00645B93"/>
    <w:rsid w:val="00647B2A"/>
    <w:rsid w:val="0065015D"/>
    <w:rsid w:val="00650CD3"/>
    <w:rsid w:val="00651620"/>
    <w:rsid w:val="00657DE0"/>
    <w:rsid w:val="0066167A"/>
    <w:rsid w:val="0066219E"/>
    <w:rsid w:val="006628FD"/>
    <w:rsid w:val="0066457E"/>
    <w:rsid w:val="00665A73"/>
    <w:rsid w:val="00666842"/>
    <w:rsid w:val="00667101"/>
    <w:rsid w:val="00671D41"/>
    <w:rsid w:val="0067430A"/>
    <w:rsid w:val="006751AA"/>
    <w:rsid w:val="00676B9E"/>
    <w:rsid w:val="00676D7E"/>
    <w:rsid w:val="0067746D"/>
    <w:rsid w:val="00681758"/>
    <w:rsid w:val="0068363B"/>
    <w:rsid w:val="00686A92"/>
    <w:rsid w:val="00686C2B"/>
    <w:rsid w:val="006924EC"/>
    <w:rsid w:val="006951D5"/>
    <w:rsid w:val="00697DCD"/>
    <w:rsid w:val="006A15D3"/>
    <w:rsid w:val="006A251F"/>
    <w:rsid w:val="006A611D"/>
    <w:rsid w:val="006A68D5"/>
    <w:rsid w:val="006A7421"/>
    <w:rsid w:val="006B190B"/>
    <w:rsid w:val="006B3A9E"/>
    <w:rsid w:val="006B6173"/>
    <w:rsid w:val="006C05B4"/>
    <w:rsid w:val="006C401C"/>
    <w:rsid w:val="006C4890"/>
    <w:rsid w:val="006D08A9"/>
    <w:rsid w:val="006D0BFC"/>
    <w:rsid w:val="006D205F"/>
    <w:rsid w:val="006D41F5"/>
    <w:rsid w:val="006D49FA"/>
    <w:rsid w:val="006D4D87"/>
    <w:rsid w:val="006D52D4"/>
    <w:rsid w:val="006D6E43"/>
    <w:rsid w:val="006D7917"/>
    <w:rsid w:val="006E44D2"/>
    <w:rsid w:val="006E4B47"/>
    <w:rsid w:val="006E4E2E"/>
    <w:rsid w:val="006E64A6"/>
    <w:rsid w:val="006E6D5F"/>
    <w:rsid w:val="006F0EC1"/>
    <w:rsid w:val="006F2889"/>
    <w:rsid w:val="006F3178"/>
    <w:rsid w:val="006F3C4E"/>
    <w:rsid w:val="006F5CCB"/>
    <w:rsid w:val="006F792B"/>
    <w:rsid w:val="00700C63"/>
    <w:rsid w:val="00706792"/>
    <w:rsid w:val="00712B61"/>
    <w:rsid w:val="00714348"/>
    <w:rsid w:val="007147F5"/>
    <w:rsid w:val="00717856"/>
    <w:rsid w:val="00717FEC"/>
    <w:rsid w:val="00720D7D"/>
    <w:rsid w:val="007214EC"/>
    <w:rsid w:val="00722D34"/>
    <w:rsid w:val="0072415B"/>
    <w:rsid w:val="007246BC"/>
    <w:rsid w:val="007256AB"/>
    <w:rsid w:val="007262D6"/>
    <w:rsid w:val="00726840"/>
    <w:rsid w:val="00730B45"/>
    <w:rsid w:val="007314D9"/>
    <w:rsid w:val="00734799"/>
    <w:rsid w:val="007351E6"/>
    <w:rsid w:val="007361F8"/>
    <w:rsid w:val="00736896"/>
    <w:rsid w:val="00740EAE"/>
    <w:rsid w:val="00741A8C"/>
    <w:rsid w:val="00745F0F"/>
    <w:rsid w:val="0074783B"/>
    <w:rsid w:val="007529EE"/>
    <w:rsid w:val="00753073"/>
    <w:rsid w:val="007534E2"/>
    <w:rsid w:val="007604CB"/>
    <w:rsid w:val="00761E93"/>
    <w:rsid w:val="00763532"/>
    <w:rsid w:val="00763977"/>
    <w:rsid w:val="00764D09"/>
    <w:rsid w:val="00765018"/>
    <w:rsid w:val="00765A6C"/>
    <w:rsid w:val="00771AB6"/>
    <w:rsid w:val="0077384E"/>
    <w:rsid w:val="00775196"/>
    <w:rsid w:val="007753EA"/>
    <w:rsid w:val="00775500"/>
    <w:rsid w:val="00776026"/>
    <w:rsid w:val="00781026"/>
    <w:rsid w:val="00783095"/>
    <w:rsid w:val="007832CF"/>
    <w:rsid w:val="0078544E"/>
    <w:rsid w:val="007876A5"/>
    <w:rsid w:val="00787A21"/>
    <w:rsid w:val="007901B6"/>
    <w:rsid w:val="00791036"/>
    <w:rsid w:val="007912F1"/>
    <w:rsid w:val="00791B9A"/>
    <w:rsid w:val="00795F33"/>
    <w:rsid w:val="00795FB6"/>
    <w:rsid w:val="007961CC"/>
    <w:rsid w:val="00796F9A"/>
    <w:rsid w:val="007A070C"/>
    <w:rsid w:val="007A1CB3"/>
    <w:rsid w:val="007A3330"/>
    <w:rsid w:val="007A3BCA"/>
    <w:rsid w:val="007A3D47"/>
    <w:rsid w:val="007A41B6"/>
    <w:rsid w:val="007A74C4"/>
    <w:rsid w:val="007B1DE9"/>
    <w:rsid w:val="007B3430"/>
    <w:rsid w:val="007B3EC2"/>
    <w:rsid w:val="007B41CA"/>
    <w:rsid w:val="007B5B81"/>
    <w:rsid w:val="007B60EB"/>
    <w:rsid w:val="007C1B45"/>
    <w:rsid w:val="007C1BA9"/>
    <w:rsid w:val="007C2E8F"/>
    <w:rsid w:val="007C3983"/>
    <w:rsid w:val="007C4B03"/>
    <w:rsid w:val="007C7923"/>
    <w:rsid w:val="007D17D2"/>
    <w:rsid w:val="007D19DC"/>
    <w:rsid w:val="007D2991"/>
    <w:rsid w:val="007D312C"/>
    <w:rsid w:val="007D3841"/>
    <w:rsid w:val="007D38F5"/>
    <w:rsid w:val="007E0730"/>
    <w:rsid w:val="007E1332"/>
    <w:rsid w:val="007E45AD"/>
    <w:rsid w:val="007E48EE"/>
    <w:rsid w:val="007E6042"/>
    <w:rsid w:val="007E69F4"/>
    <w:rsid w:val="007E7258"/>
    <w:rsid w:val="007E7A59"/>
    <w:rsid w:val="007F04C9"/>
    <w:rsid w:val="007F1A3F"/>
    <w:rsid w:val="007F3E73"/>
    <w:rsid w:val="00800EA8"/>
    <w:rsid w:val="00805732"/>
    <w:rsid w:val="00806109"/>
    <w:rsid w:val="0080735E"/>
    <w:rsid w:val="008100F8"/>
    <w:rsid w:val="00811ABF"/>
    <w:rsid w:val="008121EC"/>
    <w:rsid w:val="00813A11"/>
    <w:rsid w:val="008152A8"/>
    <w:rsid w:val="0081613A"/>
    <w:rsid w:val="00822690"/>
    <w:rsid w:val="0082387A"/>
    <w:rsid w:val="00824324"/>
    <w:rsid w:val="00825729"/>
    <w:rsid w:val="00825ECA"/>
    <w:rsid w:val="008275F1"/>
    <w:rsid w:val="0083113C"/>
    <w:rsid w:val="00831966"/>
    <w:rsid w:val="00831C5B"/>
    <w:rsid w:val="008322D6"/>
    <w:rsid w:val="0083270C"/>
    <w:rsid w:val="00832B05"/>
    <w:rsid w:val="00832B6F"/>
    <w:rsid w:val="0083336E"/>
    <w:rsid w:val="00837498"/>
    <w:rsid w:val="008374D6"/>
    <w:rsid w:val="0084095E"/>
    <w:rsid w:val="00841408"/>
    <w:rsid w:val="00844CBF"/>
    <w:rsid w:val="00845AD3"/>
    <w:rsid w:val="00846D67"/>
    <w:rsid w:val="00846FC6"/>
    <w:rsid w:val="00847D2B"/>
    <w:rsid w:val="008501F5"/>
    <w:rsid w:val="00851D83"/>
    <w:rsid w:val="00852934"/>
    <w:rsid w:val="008546DF"/>
    <w:rsid w:val="0085481D"/>
    <w:rsid w:val="00854BCB"/>
    <w:rsid w:val="0085561B"/>
    <w:rsid w:val="0085729C"/>
    <w:rsid w:val="008603EB"/>
    <w:rsid w:val="00860BA8"/>
    <w:rsid w:val="00863B51"/>
    <w:rsid w:val="008672DE"/>
    <w:rsid w:val="0087045B"/>
    <w:rsid w:val="008705C8"/>
    <w:rsid w:val="008711AA"/>
    <w:rsid w:val="00872EBA"/>
    <w:rsid w:val="008736CB"/>
    <w:rsid w:val="0087501F"/>
    <w:rsid w:val="008762E8"/>
    <w:rsid w:val="00877AC4"/>
    <w:rsid w:val="00881ED4"/>
    <w:rsid w:val="008823BA"/>
    <w:rsid w:val="00884B1A"/>
    <w:rsid w:val="00886AA9"/>
    <w:rsid w:val="0088744C"/>
    <w:rsid w:val="00891876"/>
    <w:rsid w:val="00891FB0"/>
    <w:rsid w:val="00896405"/>
    <w:rsid w:val="00896EAA"/>
    <w:rsid w:val="00897493"/>
    <w:rsid w:val="008978CC"/>
    <w:rsid w:val="008A4878"/>
    <w:rsid w:val="008A5858"/>
    <w:rsid w:val="008A5A9C"/>
    <w:rsid w:val="008A5B97"/>
    <w:rsid w:val="008A788C"/>
    <w:rsid w:val="008B1A6C"/>
    <w:rsid w:val="008B22FB"/>
    <w:rsid w:val="008B3888"/>
    <w:rsid w:val="008B3C66"/>
    <w:rsid w:val="008B59F3"/>
    <w:rsid w:val="008B76F5"/>
    <w:rsid w:val="008B797B"/>
    <w:rsid w:val="008C34BB"/>
    <w:rsid w:val="008C39D0"/>
    <w:rsid w:val="008C4B74"/>
    <w:rsid w:val="008C5106"/>
    <w:rsid w:val="008C51A8"/>
    <w:rsid w:val="008C531E"/>
    <w:rsid w:val="008C7EF3"/>
    <w:rsid w:val="008D0508"/>
    <w:rsid w:val="008D1F20"/>
    <w:rsid w:val="008D3A5C"/>
    <w:rsid w:val="008D3B31"/>
    <w:rsid w:val="008D624E"/>
    <w:rsid w:val="008D66AF"/>
    <w:rsid w:val="008E2D39"/>
    <w:rsid w:val="008E32A7"/>
    <w:rsid w:val="008E381A"/>
    <w:rsid w:val="008E3E11"/>
    <w:rsid w:val="008E59F8"/>
    <w:rsid w:val="008F0CE5"/>
    <w:rsid w:val="008F23C7"/>
    <w:rsid w:val="008F47A0"/>
    <w:rsid w:val="008F49DB"/>
    <w:rsid w:val="008F73DC"/>
    <w:rsid w:val="008F78DE"/>
    <w:rsid w:val="0090256D"/>
    <w:rsid w:val="00903324"/>
    <w:rsid w:val="00904B09"/>
    <w:rsid w:val="00906D57"/>
    <w:rsid w:val="0090781A"/>
    <w:rsid w:val="00915A09"/>
    <w:rsid w:val="00915BCD"/>
    <w:rsid w:val="00924CF6"/>
    <w:rsid w:val="00925585"/>
    <w:rsid w:val="00931A25"/>
    <w:rsid w:val="009335B2"/>
    <w:rsid w:val="00935684"/>
    <w:rsid w:val="00935E05"/>
    <w:rsid w:val="00941153"/>
    <w:rsid w:val="009413A0"/>
    <w:rsid w:val="00941B25"/>
    <w:rsid w:val="00946CD4"/>
    <w:rsid w:val="009478F0"/>
    <w:rsid w:val="0095024E"/>
    <w:rsid w:val="00951B9C"/>
    <w:rsid w:val="00953ACE"/>
    <w:rsid w:val="00956AFF"/>
    <w:rsid w:val="00960559"/>
    <w:rsid w:val="00965207"/>
    <w:rsid w:val="00966DCB"/>
    <w:rsid w:val="00967161"/>
    <w:rsid w:val="00967CD7"/>
    <w:rsid w:val="00967EB6"/>
    <w:rsid w:val="00970517"/>
    <w:rsid w:val="00971BE2"/>
    <w:rsid w:val="009742F0"/>
    <w:rsid w:val="009763D3"/>
    <w:rsid w:val="009774D6"/>
    <w:rsid w:val="0097771E"/>
    <w:rsid w:val="00982773"/>
    <w:rsid w:val="009871AF"/>
    <w:rsid w:val="00990CAD"/>
    <w:rsid w:val="00990D2A"/>
    <w:rsid w:val="00991CB3"/>
    <w:rsid w:val="009943B2"/>
    <w:rsid w:val="009952F4"/>
    <w:rsid w:val="00995D07"/>
    <w:rsid w:val="0099719A"/>
    <w:rsid w:val="00997393"/>
    <w:rsid w:val="00997C06"/>
    <w:rsid w:val="009A0B8B"/>
    <w:rsid w:val="009A0BF3"/>
    <w:rsid w:val="009A2256"/>
    <w:rsid w:val="009A3DA2"/>
    <w:rsid w:val="009A5537"/>
    <w:rsid w:val="009A5639"/>
    <w:rsid w:val="009A5F3C"/>
    <w:rsid w:val="009B2C7D"/>
    <w:rsid w:val="009B2E9E"/>
    <w:rsid w:val="009B373A"/>
    <w:rsid w:val="009B4FB5"/>
    <w:rsid w:val="009B651C"/>
    <w:rsid w:val="009B6629"/>
    <w:rsid w:val="009B669C"/>
    <w:rsid w:val="009C0021"/>
    <w:rsid w:val="009C0339"/>
    <w:rsid w:val="009C0F95"/>
    <w:rsid w:val="009C1606"/>
    <w:rsid w:val="009C2EAE"/>
    <w:rsid w:val="009C49B2"/>
    <w:rsid w:val="009C7A77"/>
    <w:rsid w:val="009D1C4C"/>
    <w:rsid w:val="009D6218"/>
    <w:rsid w:val="009E1D5B"/>
    <w:rsid w:val="009E31FB"/>
    <w:rsid w:val="009E3281"/>
    <w:rsid w:val="009E483A"/>
    <w:rsid w:val="009F3BF2"/>
    <w:rsid w:val="009F410D"/>
    <w:rsid w:val="009F47DD"/>
    <w:rsid w:val="009F66C7"/>
    <w:rsid w:val="009F66DA"/>
    <w:rsid w:val="009F7B4D"/>
    <w:rsid w:val="009F7F87"/>
    <w:rsid w:val="00A00092"/>
    <w:rsid w:val="00A016A0"/>
    <w:rsid w:val="00A01ED2"/>
    <w:rsid w:val="00A02CD8"/>
    <w:rsid w:val="00A02E07"/>
    <w:rsid w:val="00A02F2F"/>
    <w:rsid w:val="00A075B1"/>
    <w:rsid w:val="00A12757"/>
    <w:rsid w:val="00A12A06"/>
    <w:rsid w:val="00A14B82"/>
    <w:rsid w:val="00A14CD0"/>
    <w:rsid w:val="00A16D95"/>
    <w:rsid w:val="00A17F9A"/>
    <w:rsid w:val="00A216EC"/>
    <w:rsid w:val="00A2483E"/>
    <w:rsid w:val="00A24E52"/>
    <w:rsid w:val="00A26983"/>
    <w:rsid w:val="00A26BBA"/>
    <w:rsid w:val="00A2790A"/>
    <w:rsid w:val="00A31234"/>
    <w:rsid w:val="00A33AF4"/>
    <w:rsid w:val="00A35979"/>
    <w:rsid w:val="00A35EB3"/>
    <w:rsid w:val="00A4063C"/>
    <w:rsid w:val="00A407FB"/>
    <w:rsid w:val="00A40859"/>
    <w:rsid w:val="00A444B1"/>
    <w:rsid w:val="00A46EF1"/>
    <w:rsid w:val="00A51524"/>
    <w:rsid w:val="00A51B6E"/>
    <w:rsid w:val="00A5341B"/>
    <w:rsid w:val="00A5425D"/>
    <w:rsid w:val="00A55B36"/>
    <w:rsid w:val="00A57EE4"/>
    <w:rsid w:val="00A607E7"/>
    <w:rsid w:val="00A60D6E"/>
    <w:rsid w:val="00A6241F"/>
    <w:rsid w:val="00A63012"/>
    <w:rsid w:val="00A633B3"/>
    <w:rsid w:val="00A66FFA"/>
    <w:rsid w:val="00A67DA8"/>
    <w:rsid w:val="00A716D7"/>
    <w:rsid w:val="00A71795"/>
    <w:rsid w:val="00A72500"/>
    <w:rsid w:val="00A7337C"/>
    <w:rsid w:val="00A74564"/>
    <w:rsid w:val="00A7512C"/>
    <w:rsid w:val="00A756B4"/>
    <w:rsid w:val="00A76515"/>
    <w:rsid w:val="00A770AC"/>
    <w:rsid w:val="00A778F4"/>
    <w:rsid w:val="00A8086B"/>
    <w:rsid w:val="00A80968"/>
    <w:rsid w:val="00A822D4"/>
    <w:rsid w:val="00A829AB"/>
    <w:rsid w:val="00A82D29"/>
    <w:rsid w:val="00A8432A"/>
    <w:rsid w:val="00A84B73"/>
    <w:rsid w:val="00A85971"/>
    <w:rsid w:val="00A859FA"/>
    <w:rsid w:val="00A86544"/>
    <w:rsid w:val="00A86D6F"/>
    <w:rsid w:val="00A90173"/>
    <w:rsid w:val="00A92B15"/>
    <w:rsid w:val="00A95F1D"/>
    <w:rsid w:val="00A96CC7"/>
    <w:rsid w:val="00A971BF"/>
    <w:rsid w:val="00AA13A9"/>
    <w:rsid w:val="00AA3783"/>
    <w:rsid w:val="00AA3ADA"/>
    <w:rsid w:val="00AA4075"/>
    <w:rsid w:val="00AA55C2"/>
    <w:rsid w:val="00AA69F9"/>
    <w:rsid w:val="00AB170F"/>
    <w:rsid w:val="00AB2399"/>
    <w:rsid w:val="00AB274A"/>
    <w:rsid w:val="00AB2C82"/>
    <w:rsid w:val="00AB4363"/>
    <w:rsid w:val="00AB508F"/>
    <w:rsid w:val="00AB6E44"/>
    <w:rsid w:val="00AC04C8"/>
    <w:rsid w:val="00AC1A5A"/>
    <w:rsid w:val="00AC49A8"/>
    <w:rsid w:val="00AC6238"/>
    <w:rsid w:val="00AD1DAD"/>
    <w:rsid w:val="00AD2F81"/>
    <w:rsid w:val="00AD32F5"/>
    <w:rsid w:val="00AD44EB"/>
    <w:rsid w:val="00AD48BF"/>
    <w:rsid w:val="00AD5BF1"/>
    <w:rsid w:val="00AD6B27"/>
    <w:rsid w:val="00AD73A4"/>
    <w:rsid w:val="00AD7A6D"/>
    <w:rsid w:val="00AD7B08"/>
    <w:rsid w:val="00AE0AC1"/>
    <w:rsid w:val="00AE1D27"/>
    <w:rsid w:val="00AE33F7"/>
    <w:rsid w:val="00AE59C2"/>
    <w:rsid w:val="00AF1D92"/>
    <w:rsid w:val="00AF2B19"/>
    <w:rsid w:val="00AF4246"/>
    <w:rsid w:val="00AF4D02"/>
    <w:rsid w:val="00AF5E08"/>
    <w:rsid w:val="00B02309"/>
    <w:rsid w:val="00B02B56"/>
    <w:rsid w:val="00B0617F"/>
    <w:rsid w:val="00B06F71"/>
    <w:rsid w:val="00B10C3E"/>
    <w:rsid w:val="00B131A0"/>
    <w:rsid w:val="00B14955"/>
    <w:rsid w:val="00B15360"/>
    <w:rsid w:val="00B210F2"/>
    <w:rsid w:val="00B22AEF"/>
    <w:rsid w:val="00B23FB7"/>
    <w:rsid w:val="00B243FB"/>
    <w:rsid w:val="00B24765"/>
    <w:rsid w:val="00B24EA4"/>
    <w:rsid w:val="00B25AFA"/>
    <w:rsid w:val="00B25DAA"/>
    <w:rsid w:val="00B26585"/>
    <w:rsid w:val="00B32874"/>
    <w:rsid w:val="00B337A4"/>
    <w:rsid w:val="00B33CFA"/>
    <w:rsid w:val="00B33FA5"/>
    <w:rsid w:val="00B35623"/>
    <w:rsid w:val="00B37A7B"/>
    <w:rsid w:val="00B40C43"/>
    <w:rsid w:val="00B42950"/>
    <w:rsid w:val="00B42E92"/>
    <w:rsid w:val="00B44145"/>
    <w:rsid w:val="00B442CC"/>
    <w:rsid w:val="00B53162"/>
    <w:rsid w:val="00B53743"/>
    <w:rsid w:val="00B53C9F"/>
    <w:rsid w:val="00B53CED"/>
    <w:rsid w:val="00B54D3E"/>
    <w:rsid w:val="00B56ACB"/>
    <w:rsid w:val="00B60027"/>
    <w:rsid w:val="00B6104B"/>
    <w:rsid w:val="00B62029"/>
    <w:rsid w:val="00B63825"/>
    <w:rsid w:val="00B64939"/>
    <w:rsid w:val="00B7032C"/>
    <w:rsid w:val="00B71732"/>
    <w:rsid w:val="00B71B32"/>
    <w:rsid w:val="00B72F59"/>
    <w:rsid w:val="00B75599"/>
    <w:rsid w:val="00B811F5"/>
    <w:rsid w:val="00B81CEA"/>
    <w:rsid w:val="00B83709"/>
    <w:rsid w:val="00B83DB3"/>
    <w:rsid w:val="00B86692"/>
    <w:rsid w:val="00B875C6"/>
    <w:rsid w:val="00B90C2E"/>
    <w:rsid w:val="00B91567"/>
    <w:rsid w:val="00B919EB"/>
    <w:rsid w:val="00B9382E"/>
    <w:rsid w:val="00B93E21"/>
    <w:rsid w:val="00B93FD5"/>
    <w:rsid w:val="00B95213"/>
    <w:rsid w:val="00B959D7"/>
    <w:rsid w:val="00B962CE"/>
    <w:rsid w:val="00BA0588"/>
    <w:rsid w:val="00BA0C83"/>
    <w:rsid w:val="00BA2DD6"/>
    <w:rsid w:val="00BA304F"/>
    <w:rsid w:val="00BA32A3"/>
    <w:rsid w:val="00BA4029"/>
    <w:rsid w:val="00BA5404"/>
    <w:rsid w:val="00BA72B1"/>
    <w:rsid w:val="00BA74F9"/>
    <w:rsid w:val="00BB1255"/>
    <w:rsid w:val="00BB33A9"/>
    <w:rsid w:val="00BB3C38"/>
    <w:rsid w:val="00BB3F86"/>
    <w:rsid w:val="00BB5BE6"/>
    <w:rsid w:val="00BB70FB"/>
    <w:rsid w:val="00BC0024"/>
    <w:rsid w:val="00BC2DB5"/>
    <w:rsid w:val="00BC3E1C"/>
    <w:rsid w:val="00BC4568"/>
    <w:rsid w:val="00BC4604"/>
    <w:rsid w:val="00BC53DB"/>
    <w:rsid w:val="00BC7AD0"/>
    <w:rsid w:val="00BD14E7"/>
    <w:rsid w:val="00BD4599"/>
    <w:rsid w:val="00BD5E21"/>
    <w:rsid w:val="00BE0F43"/>
    <w:rsid w:val="00BE4354"/>
    <w:rsid w:val="00BE6C08"/>
    <w:rsid w:val="00BE712C"/>
    <w:rsid w:val="00BF2339"/>
    <w:rsid w:val="00BF38D1"/>
    <w:rsid w:val="00BF4035"/>
    <w:rsid w:val="00BF42A2"/>
    <w:rsid w:val="00BF5E43"/>
    <w:rsid w:val="00C00A77"/>
    <w:rsid w:val="00C051FB"/>
    <w:rsid w:val="00C063C4"/>
    <w:rsid w:val="00C06659"/>
    <w:rsid w:val="00C072C5"/>
    <w:rsid w:val="00C10DAD"/>
    <w:rsid w:val="00C12495"/>
    <w:rsid w:val="00C12848"/>
    <w:rsid w:val="00C13B71"/>
    <w:rsid w:val="00C15578"/>
    <w:rsid w:val="00C201C6"/>
    <w:rsid w:val="00C204B2"/>
    <w:rsid w:val="00C20E4E"/>
    <w:rsid w:val="00C21F4C"/>
    <w:rsid w:val="00C2563A"/>
    <w:rsid w:val="00C3174C"/>
    <w:rsid w:val="00C32197"/>
    <w:rsid w:val="00C35265"/>
    <w:rsid w:val="00C35D82"/>
    <w:rsid w:val="00C37246"/>
    <w:rsid w:val="00C43BF1"/>
    <w:rsid w:val="00C444FC"/>
    <w:rsid w:val="00C469E4"/>
    <w:rsid w:val="00C47BFE"/>
    <w:rsid w:val="00C506BB"/>
    <w:rsid w:val="00C50804"/>
    <w:rsid w:val="00C50A33"/>
    <w:rsid w:val="00C50F27"/>
    <w:rsid w:val="00C51917"/>
    <w:rsid w:val="00C52098"/>
    <w:rsid w:val="00C5264C"/>
    <w:rsid w:val="00C53E01"/>
    <w:rsid w:val="00C5543D"/>
    <w:rsid w:val="00C562E9"/>
    <w:rsid w:val="00C56666"/>
    <w:rsid w:val="00C56C01"/>
    <w:rsid w:val="00C6064E"/>
    <w:rsid w:val="00C60740"/>
    <w:rsid w:val="00C610F5"/>
    <w:rsid w:val="00C640CE"/>
    <w:rsid w:val="00C65EA0"/>
    <w:rsid w:val="00C70425"/>
    <w:rsid w:val="00C70C37"/>
    <w:rsid w:val="00C70E19"/>
    <w:rsid w:val="00C72316"/>
    <w:rsid w:val="00C749D6"/>
    <w:rsid w:val="00C77ACB"/>
    <w:rsid w:val="00C80151"/>
    <w:rsid w:val="00C8370F"/>
    <w:rsid w:val="00C848A2"/>
    <w:rsid w:val="00C84CCB"/>
    <w:rsid w:val="00C87C1A"/>
    <w:rsid w:val="00C91396"/>
    <w:rsid w:val="00C91E90"/>
    <w:rsid w:val="00CA368B"/>
    <w:rsid w:val="00CA3AD3"/>
    <w:rsid w:val="00CA3B83"/>
    <w:rsid w:val="00CA6BD8"/>
    <w:rsid w:val="00CB26E6"/>
    <w:rsid w:val="00CB29D2"/>
    <w:rsid w:val="00CB36F4"/>
    <w:rsid w:val="00CB40DF"/>
    <w:rsid w:val="00CB5607"/>
    <w:rsid w:val="00CB5F9D"/>
    <w:rsid w:val="00CB6D5D"/>
    <w:rsid w:val="00CB70FC"/>
    <w:rsid w:val="00CB7735"/>
    <w:rsid w:val="00CC188B"/>
    <w:rsid w:val="00CC1CA0"/>
    <w:rsid w:val="00CC38CA"/>
    <w:rsid w:val="00CC6410"/>
    <w:rsid w:val="00CD0D3F"/>
    <w:rsid w:val="00CD198E"/>
    <w:rsid w:val="00CD1DD3"/>
    <w:rsid w:val="00CD48FB"/>
    <w:rsid w:val="00CD5041"/>
    <w:rsid w:val="00CE1BB0"/>
    <w:rsid w:val="00CE2859"/>
    <w:rsid w:val="00CE37E4"/>
    <w:rsid w:val="00CE437A"/>
    <w:rsid w:val="00CE4939"/>
    <w:rsid w:val="00CE5A49"/>
    <w:rsid w:val="00CE74D4"/>
    <w:rsid w:val="00CF1902"/>
    <w:rsid w:val="00CF226E"/>
    <w:rsid w:val="00CF22D7"/>
    <w:rsid w:val="00CF30B6"/>
    <w:rsid w:val="00CF3CDD"/>
    <w:rsid w:val="00D00674"/>
    <w:rsid w:val="00D00DD9"/>
    <w:rsid w:val="00D00EF2"/>
    <w:rsid w:val="00D0356E"/>
    <w:rsid w:val="00D03FBC"/>
    <w:rsid w:val="00D05759"/>
    <w:rsid w:val="00D05EF3"/>
    <w:rsid w:val="00D11EC8"/>
    <w:rsid w:val="00D13A0C"/>
    <w:rsid w:val="00D13B03"/>
    <w:rsid w:val="00D15DFC"/>
    <w:rsid w:val="00D17C1F"/>
    <w:rsid w:val="00D207F5"/>
    <w:rsid w:val="00D22A65"/>
    <w:rsid w:val="00D25039"/>
    <w:rsid w:val="00D26C66"/>
    <w:rsid w:val="00D27920"/>
    <w:rsid w:val="00D30191"/>
    <w:rsid w:val="00D30592"/>
    <w:rsid w:val="00D3074C"/>
    <w:rsid w:val="00D35717"/>
    <w:rsid w:val="00D36470"/>
    <w:rsid w:val="00D42A8F"/>
    <w:rsid w:val="00D435B6"/>
    <w:rsid w:val="00D45CA8"/>
    <w:rsid w:val="00D46A6C"/>
    <w:rsid w:val="00D46E9B"/>
    <w:rsid w:val="00D54FF9"/>
    <w:rsid w:val="00D57114"/>
    <w:rsid w:val="00D626EA"/>
    <w:rsid w:val="00D6422E"/>
    <w:rsid w:val="00D66EED"/>
    <w:rsid w:val="00D70096"/>
    <w:rsid w:val="00D70429"/>
    <w:rsid w:val="00D70AFC"/>
    <w:rsid w:val="00D7471A"/>
    <w:rsid w:val="00D7732D"/>
    <w:rsid w:val="00D8211B"/>
    <w:rsid w:val="00D84669"/>
    <w:rsid w:val="00D84B42"/>
    <w:rsid w:val="00D8571D"/>
    <w:rsid w:val="00D85CC0"/>
    <w:rsid w:val="00D85F61"/>
    <w:rsid w:val="00D86CBD"/>
    <w:rsid w:val="00D905C3"/>
    <w:rsid w:val="00D918A6"/>
    <w:rsid w:val="00D91B65"/>
    <w:rsid w:val="00D95C23"/>
    <w:rsid w:val="00D978A7"/>
    <w:rsid w:val="00DA084F"/>
    <w:rsid w:val="00DA2B71"/>
    <w:rsid w:val="00DA2D68"/>
    <w:rsid w:val="00DA574B"/>
    <w:rsid w:val="00DA6942"/>
    <w:rsid w:val="00DA7244"/>
    <w:rsid w:val="00DB00DB"/>
    <w:rsid w:val="00DB05A9"/>
    <w:rsid w:val="00DB0BB6"/>
    <w:rsid w:val="00DB10FD"/>
    <w:rsid w:val="00DB3D40"/>
    <w:rsid w:val="00DB62A7"/>
    <w:rsid w:val="00DB7423"/>
    <w:rsid w:val="00DB78C4"/>
    <w:rsid w:val="00DC013A"/>
    <w:rsid w:val="00DC0382"/>
    <w:rsid w:val="00DC0E80"/>
    <w:rsid w:val="00DC1253"/>
    <w:rsid w:val="00DC15E2"/>
    <w:rsid w:val="00DC1CD5"/>
    <w:rsid w:val="00DC1DF7"/>
    <w:rsid w:val="00DC4728"/>
    <w:rsid w:val="00DC589D"/>
    <w:rsid w:val="00DD2111"/>
    <w:rsid w:val="00DD3E52"/>
    <w:rsid w:val="00DD4E3D"/>
    <w:rsid w:val="00DD617A"/>
    <w:rsid w:val="00DD67DF"/>
    <w:rsid w:val="00DD742F"/>
    <w:rsid w:val="00DE235B"/>
    <w:rsid w:val="00DE2CAA"/>
    <w:rsid w:val="00DE4080"/>
    <w:rsid w:val="00DE5964"/>
    <w:rsid w:val="00DE74DA"/>
    <w:rsid w:val="00DE7501"/>
    <w:rsid w:val="00DE7535"/>
    <w:rsid w:val="00DE7F2C"/>
    <w:rsid w:val="00DF21A8"/>
    <w:rsid w:val="00DF235D"/>
    <w:rsid w:val="00DF2FE3"/>
    <w:rsid w:val="00DF54EA"/>
    <w:rsid w:val="00E003AA"/>
    <w:rsid w:val="00E0382D"/>
    <w:rsid w:val="00E0641E"/>
    <w:rsid w:val="00E0702E"/>
    <w:rsid w:val="00E07069"/>
    <w:rsid w:val="00E07898"/>
    <w:rsid w:val="00E11475"/>
    <w:rsid w:val="00E16412"/>
    <w:rsid w:val="00E16620"/>
    <w:rsid w:val="00E1672E"/>
    <w:rsid w:val="00E21804"/>
    <w:rsid w:val="00E22F09"/>
    <w:rsid w:val="00E23A2B"/>
    <w:rsid w:val="00E2486F"/>
    <w:rsid w:val="00E249E8"/>
    <w:rsid w:val="00E254E5"/>
    <w:rsid w:val="00E259F8"/>
    <w:rsid w:val="00E313C9"/>
    <w:rsid w:val="00E31D02"/>
    <w:rsid w:val="00E32AF5"/>
    <w:rsid w:val="00E33504"/>
    <w:rsid w:val="00E364D7"/>
    <w:rsid w:val="00E3656C"/>
    <w:rsid w:val="00E42421"/>
    <w:rsid w:val="00E439A4"/>
    <w:rsid w:val="00E44402"/>
    <w:rsid w:val="00E4531B"/>
    <w:rsid w:val="00E46EB8"/>
    <w:rsid w:val="00E47269"/>
    <w:rsid w:val="00E4773D"/>
    <w:rsid w:val="00E47909"/>
    <w:rsid w:val="00E50F3C"/>
    <w:rsid w:val="00E527A3"/>
    <w:rsid w:val="00E53122"/>
    <w:rsid w:val="00E55ACD"/>
    <w:rsid w:val="00E564B0"/>
    <w:rsid w:val="00E5776F"/>
    <w:rsid w:val="00E622C9"/>
    <w:rsid w:val="00E631C5"/>
    <w:rsid w:val="00E63DF1"/>
    <w:rsid w:val="00E64B10"/>
    <w:rsid w:val="00E671F5"/>
    <w:rsid w:val="00E67EBC"/>
    <w:rsid w:val="00E70DB4"/>
    <w:rsid w:val="00E70F06"/>
    <w:rsid w:val="00E71DB8"/>
    <w:rsid w:val="00E72602"/>
    <w:rsid w:val="00E73633"/>
    <w:rsid w:val="00E74022"/>
    <w:rsid w:val="00E7620F"/>
    <w:rsid w:val="00E81653"/>
    <w:rsid w:val="00E828BA"/>
    <w:rsid w:val="00E832D0"/>
    <w:rsid w:val="00E86A40"/>
    <w:rsid w:val="00E86DA3"/>
    <w:rsid w:val="00E87287"/>
    <w:rsid w:val="00E929B2"/>
    <w:rsid w:val="00E929CD"/>
    <w:rsid w:val="00E9577E"/>
    <w:rsid w:val="00E95F30"/>
    <w:rsid w:val="00EA1769"/>
    <w:rsid w:val="00EA303B"/>
    <w:rsid w:val="00EA3455"/>
    <w:rsid w:val="00EA4106"/>
    <w:rsid w:val="00EA4D90"/>
    <w:rsid w:val="00EA5781"/>
    <w:rsid w:val="00EA6C84"/>
    <w:rsid w:val="00EA6CEE"/>
    <w:rsid w:val="00EB3ED5"/>
    <w:rsid w:val="00EB590B"/>
    <w:rsid w:val="00EB6C84"/>
    <w:rsid w:val="00EC0F32"/>
    <w:rsid w:val="00EC3266"/>
    <w:rsid w:val="00EC41E5"/>
    <w:rsid w:val="00EC6864"/>
    <w:rsid w:val="00ED09D8"/>
    <w:rsid w:val="00ED0B58"/>
    <w:rsid w:val="00ED1A6E"/>
    <w:rsid w:val="00ED2EAE"/>
    <w:rsid w:val="00ED6929"/>
    <w:rsid w:val="00ED6D9D"/>
    <w:rsid w:val="00ED705F"/>
    <w:rsid w:val="00EE2545"/>
    <w:rsid w:val="00EE3E1E"/>
    <w:rsid w:val="00EE4674"/>
    <w:rsid w:val="00EE6A1A"/>
    <w:rsid w:val="00EE6B42"/>
    <w:rsid w:val="00EE6CCD"/>
    <w:rsid w:val="00EE7AF7"/>
    <w:rsid w:val="00EF349D"/>
    <w:rsid w:val="00EF418B"/>
    <w:rsid w:val="00EF57B9"/>
    <w:rsid w:val="00F00D02"/>
    <w:rsid w:val="00F0123A"/>
    <w:rsid w:val="00F04B79"/>
    <w:rsid w:val="00F05F4D"/>
    <w:rsid w:val="00F05FBF"/>
    <w:rsid w:val="00F07162"/>
    <w:rsid w:val="00F10225"/>
    <w:rsid w:val="00F1115F"/>
    <w:rsid w:val="00F11421"/>
    <w:rsid w:val="00F1228B"/>
    <w:rsid w:val="00F1254C"/>
    <w:rsid w:val="00F12FBF"/>
    <w:rsid w:val="00F13DA9"/>
    <w:rsid w:val="00F13FF8"/>
    <w:rsid w:val="00F14739"/>
    <w:rsid w:val="00F14850"/>
    <w:rsid w:val="00F14FC2"/>
    <w:rsid w:val="00F16B5F"/>
    <w:rsid w:val="00F176B4"/>
    <w:rsid w:val="00F17E44"/>
    <w:rsid w:val="00F2060C"/>
    <w:rsid w:val="00F20E2A"/>
    <w:rsid w:val="00F21492"/>
    <w:rsid w:val="00F24944"/>
    <w:rsid w:val="00F302F5"/>
    <w:rsid w:val="00F31898"/>
    <w:rsid w:val="00F33B7F"/>
    <w:rsid w:val="00F3506C"/>
    <w:rsid w:val="00F35D2E"/>
    <w:rsid w:val="00F36608"/>
    <w:rsid w:val="00F415E5"/>
    <w:rsid w:val="00F425FC"/>
    <w:rsid w:val="00F43E66"/>
    <w:rsid w:val="00F479B9"/>
    <w:rsid w:val="00F47C08"/>
    <w:rsid w:val="00F511B6"/>
    <w:rsid w:val="00F51A62"/>
    <w:rsid w:val="00F54C2B"/>
    <w:rsid w:val="00F55E74"/>
    <w:rsid w:val="00F560E4"/>
    <w:rsid w:val="00F603D7"/>
    <w:rsid w:val="00F60707"/>
    <w:rsid w:val="00F635C1"/>
    <w:rsid w:val="00F643B3"/>
    <w:rsid w:val="00F661B7"/>
    <w:rsid w:val="00F675F6"/>
    <w:rsid w:val="00F67959"/>
    <w:rsid w:val="00F67D42"/>
    <w:rsid w:val="00F70B5F"/>
    <w:rsid w:val="00F71370"/>
    <w:rsid w:val="00F71910"/>
    <w:rsid w:val="00F74F9F"/>
    <w:rsid w:val="00F771D2"/>
    <w:rsid w:val="00F777D3"/>
    <w:rsid w:val="00F779B8"/>
    <w:rsid w:val="00F77DB1"/>
    <w:rsid w:val="00F83125"/>
    <w:rsid w:val="00F91FFE"/>
    <w:rsid w:val="00F93197"/>
    <w:rsid w:val="00F9488E"/>
    <w:rsid w:val="00F94A52"/>
    <w:rsid w:val="00F96ED8"/>
    <w:rsid w:val="00F9763E"/>
    <w:rsid w:val="00FA08AA"/>
    <w:rsid w:val="00FA1031"/>
    <w:rsid w:val="00FA11EC"/>
    <w:rsid w:val="00FA1402"/>
    <w:rsid w:val="00FA3343"/>
    <w:rsid w:val="00FA390F"/>
    <w:rsid w:val="00FA4687"/>
    <w:rsid w:val="00FA4B27"/>
    <w:rsid w:val="00FA5A6C"/>
    <w:rsid w:val="00FA5F93"/>
    <w:rsid w:val="00FB343A"/>
    <w:rsid w:val="00FB48AF"/>
    <w:rsid w:val="00FB7741"/>
    <w:rsid w:val="00FC1261"/>
    <w:rsid w:val="00FC2E03"/>
    <w:rsid w:val="00FC54C1"/>
    <w:rsid w:val="00FC5ED8"/>
    <w:rsid w:val="00FC6BCF"/>
    <w:rsid w:val="00FC6BE7"/>
    <w:rsid w:val="00FD3B84"/>
    <w:rsid w:val="00FD4377"/>
    <w:rsid w:val="00FD4EA0"/>
    <w:rsid w:val="00FD4ECF"/>
    <w:rsid w:val="00FD56A7"/>
    <w:rsid w:val="00FD5E23"/>
    <w:rsid w:val="00FD6A7F"/>
    <w:rsid w:val="00FE01A2"/>
    <w:rsid w:val="00FE2322"/>
    <w:rsid w:val="00FE448A"/>
    <w:rsid w:val="00FE4C20"/>
    <w:rsid w:val="00FE6B52"/>
    <w:rsid w:val="00FE6D94"/>
    <w:rsid w:val="00FE7BE7"/>
    <w:rsid w:val="00FF153B"/>
    <w:rsid w:val="00FF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9362"/>
  <w15:chartTrackingRefBased/>
  <w15:docId w15:val="{07BCD5E6-8C24-4610-8694-35E94D12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27"/>
    <w:pPr>
      <w:spacing w:after="200" w:line="276" w:lineRule="auto"/>
    </w:pPr>
  </w:style>
  <w:style w:type="paragraph" w:styleId="Heading9">
    <w:name w:val="heading 9"/>
    <w:basedOn w:val="Normal"/>
    <w:next w:val="Normal"/>
    <w:link w:val="Heading9Char"/>
    <w:uiPriority w:val="99"/>
    <w:qFormat/>
    <w:rsid w:val="00B60027"/>
    <w:pPr>
      <w:keepNext/>
      <w:spacing w:after="0" w:line="240" w:lineRule="auto"/>
      <w:outlineLvl w:val="8"/>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B60027"/>
    <w:rPr>
      <w:rFonts w:ascii="Times New Roman" w:eastAsia="Times New Roman" w:hAnsi="Times New Roman" w:cs="Times New Roman"/>
      <w:b/>
      <w:bCs/>
      <w:i/>
      <w:iCs/>
      <w:sz w:val="20"/>
      <w:szCs w:val="20"/>
    </w:rPr>
  </w:style>
  <w:style w:type="paragraph" w:styleId="BodyText">
    <w:name w:val="Body Text"/>
    <w:basedOn w:val="Normal"/>
    <w:link w:val="BodyTextChar"/>
    <w:uiPriority w:val="99"/>
    <w:rsid w:val="00B60027"/>
    <w:pPr>
      <w:tabs>
        <w:tab w:val="left" w:pos="227"/>
      </w:tabs>
      <w:suppressAutoHyphens/>
      <w:autoSpaceDE w:val="0"/>
      <w:autoSpaceDN w:val="0"/>
      <w:adjustRightInd w:val="0"/>
      <w:spacing w:before="40" w:after="40" w:line="200" w:lineRule="atLeast"/>
      <w:textAlignment w:val="center"/>
    </w:pPr>
    <w:rPr>
      <w:rFonts w:ascii="Arial" w:hAnsi="Arial" w:cs="Arial"/>
      <w:color w:val="000000"/>
      <w:sz w:val="18"/>
      <w:szCs w:val="18"/>
    </w:rPr>
  </w:style>
  <w:style w:type="character" w:customStyle="1" w:styleId="BodyTextChar">
    <w:name w:val="Body Text Char"/>
    <w:basedOn w:val="DefaultParagraphFont"/>
    <w:link w:val="BodyText"/>
    <w:uiPriority w:val="99"/>
    <w:rsid w:val="00B60027"/>
    <w:rPr>
      <w:rFonts w:ascii="Arial" w:hAnsi="Arial" w:cs="Arial"/>
      <w:color w:val="000000"/>
      <w:sz w:val="18"/>
      <w:szCs w:val="18"/>
    </w:rPr>
  </w:style>
  <w:style w:type="paragraph" w:styleId="NormalWeb">
    <w:name w:val="Normal (Web)"/>
    <w:basedOn w:val="Normal"/>
    <w:uiPriority w:val="99"/>
    <w:rsid w:val="00B600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x">
    <w:name w:val="bx"/>
    <w:basedOn w:val="Normal"/>
    <w:rsid w:val="00B60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
    <w:name w:val="by"/>
    <w:basedOn w:val="DefaultParagraphFont"/>
    <w:rsid w:val="00B60027"/>
  </w:style>
  <w:style w:type="character" w:customStyle="1" w:styleId="bz">
    <w:name w:val="bz"/>
    <w:basedOn w:val="DefaultParagraphFont"/>
    <w:rsid w:val="00B60027"/>
  </w:style>
  <w:style w:type="character" w:styleId="Hyperlink">
    <w:name w:val="Hyperlink"/>
    <w:basedOn w:val="DefaultParagraphFont"/>
    <w:uiPriority w:val="99"/>
    <w:semiHidden/>
    <w:unhideWhenUsed/>
    <w:rsid w:val="00B60027"/>
    <w:rPr>
      <w:color w:val="0000FF"/>
      <w:u w:val="single"/>
    </w:rPr>
  </w:style>
  <w:style w:type="character" w:customStyle="1" w:styleId="cb">
    <w:name w:val="cb"/>
    <w:basedOn w:val="DefaultParagraphFont"/>
    <w:rsid w:val="00B60027"/>
  </w:style>
  <w:style w:type="character" w:customStyle="1" w:styleId="cd">
    <w:name w:val="cd"/>
    <w:basedOn w:val="DefaultParagraphFont"/>
    <w:rsid w:val="00B60027"/>
  </w:style>
  <w:style w:type="table" w:styleId="TableGrid">
    <w:name w:val="Table Grid"/>
    <w:basedOn w:val="TableNormal"/>
    <w:uiPriority w:val="59"/>
    <w:rsid w:val="00B60027"/>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027"/>
    <w:pPr>
      <w:ind w:left="720"/>
      <w:contextualSpacing/>
    </w:pPr>
  </w:style>
  <w:style w:type="paragraph" w:customStyle="1" w:styleId="Subhead1">
    <w:name w:val="Subhead 1"/>
    <w:basedOn w:val="Normal"/>
    <w:uiPriority w:val="99"/>
    <w:rsid w:val="00F415E5"/>
    <w:pPr>
      <w:keepNext/>
      <w:suppressAutoHyphens/>
      <w:autoSpaceDE w:val="0"/>
      <w:autoSpaceDN w:val="0"/>
      <w:adjustRightInd w:val="0"/>
      <w:spacing w:before="40" w:after="40" w:line="200" w:lineRule="atLeast"/>
      <w:textAlignment w:val="center"/>
    </w:pPr>
    <w:rPr>
      <w:rFonts w:ascii="Arial" w:hAnsi="Arial" w:cs="Arial"/>
      <w:b/>
      <w:bCs/>
      <w:color w:val="000000"/>
      <w:sz w:val="18"/>
      <w:szCs w:val="18"/>
    </w:rPr>
  </w:style>
  <w:style w:type="paragraph" w:customStyle="1" w:styleId="Figs">
    <w:name w:val="Figs"/>
    <w:basedOn w:val="Normal"/>
    <w:uiPriority w:val="99"/>
    <w:rsid w:val="00F415E5"/>
    <w:pPr>
      <w:tabs>
        <w:tab w:val="left" w:pos="227"/>
      </w:tabs>
      <w:suppressAutoHyphens/>
      <w:autoSpaceDE w:val="0"/>
      <w:autoSpaceDN w:val="0"/>
      <w:adjustRightInd w:val="0"/>
      <w:spacing w:after="0" w:line="200" w:lineRule="atLeast"/>
      <w:textAlignment w:val="center"/>
    </w:pPr>
    <w:rPr>
      <w:rFonts w:ascii="Arial" w:hAnsi="Arial" w:cs="Arial"/>
      <w:color w:val="000000"/>
      <w:sz w:val="18"/>
      <w:szCs w:val="18"/>
    </w:rPr>
  </w:style>
  <w:style w:type="paragraph" w:customStyle="1" w:styleId="Fighd">
    <w:name w:val="Fighd"/>
    <w:basedOn w:val="Normal"/>
    <w:uiPriority w:val="99"/>
    <w:rsid w:val="00F415E5"/>
    <w:pPr>
      <w:tabs>
        <w:tab w:val="left" w:pos="227"/>
      </w:tabs>
      <w:suppressAutoHyphens/>
      <w:autoSpaceDE w:val="0"/>
      <w:autoSpaceDN w:val="0"/>
      <w:adjustRightInd w:val="0"/>
      <w:spacing w:after="0" w:line="160" w:lineRule="atLeast"/>
      <w:textAlignment w:val="center"/>
    </w:pPr>
    <w:rPr>
      <w:rFonts w:ascii="Arial" w:hAnsi="Arial" w:cs="Arial"/>
      <w:color w:val="000000"/>
      <w:sz w:val="14"/>
      <w:szCs w:val="14"/>
    </w:rPr>
  </w:style>
  <w:style w:type="character" w:customStyle="1" w:styleId="FigsTextFigsFigshdbold">
    <w:name w:val="Figs Text/Figs/Figshd bold"/>
    <w:uiPriority w:val="99"/>
    <w:rsid w:val="00F415E5"/>
    <w:rPr>
      <w:rFonts w:ascii="Arial" w:hAnsi="Arial" w:cs="Arial"/>
      <w:b/>
      <w:bCs/>
      <w:color w:val="000000"/>
    </w:rPr>
  </w:style>
  <w:style w:type="paragraph" w:customStyle="1" w:styleId="PageHeader">
    <w:name w:val="Page Header"/>
    <w:basedOn w:val="Normal"/>
    <w:uiPriority w:val="99"/>
    <w:rsid w:val="00F415E5"/>
    <w:pPr>
      <w:suppressAutoHyphens/>
      <w:autoSpaceDE w:val="0"/>
      <w:autoSpaceDN w:val="0"/>
      <w:adjustRightInd w:val="0"/>
      <w:spacing w:after="0" w:line="360" w:lineRule="atLeast"/>
      <w:textAlignment w:val="center"/>
    </w:pPr>
    <w:rPr>
      <w:rFonts w:ascii="Arial" w:hAnsi="Arial" w:cs="Arial"/>
      <w:color w:val="000000"/>
      <w:sz w:val="32"/>
      <w:szCs w:val="32"/>
    </w:rPr>
  </w:style>
  <w:style w:type="paragraph" w:styleId="Footer">
    <w:name w:val="footer"/>
    <w:basedOn w:val="Normal"/>
    <w:link w:val="FooterChar"/>
    <w:uiPriority w:val="99"/>
    <w:unhideWhenUsed/>
    <w:rsid w:val="00F4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E5"/>
  </w:style>
  <w:style w:type="paragraph" w:customStyle="1" w:styleId="Tindent">
    <w:name w:val="Tindent"/>
    <w:basedOn w:val="Normal"/>
    <w:rsid w:val="00F415E5"/>
    <w:pPr>
      <w:tabs>
        <w:tab w:val="left" w:pos="851"/>
      </w:tabs>
      <w:spacing w:after="0" w:line="240" w:lineRule="auto"/>
      <w:ind w:left="709" w:hanging="142"/>
    </w:pPr>
    <w:rPr>
      <w:rFonts w:ascii="Times New Roman" w:eastAsia="Times New Roman" w:hAnsi="Times New Roman" w:cs="Times New Roman"/>
      <w:sz w:val="20"/>
      <w:szCs w:val="20"/>
      <w:lang w:eastAsia="en-GB"/>
    </w:rPr>
  </w:style>
  <w:style w:type="paragraph" w:customStyle="1" w:styleId="br">
    <w:name w:val="br"/>
    <w:basedOn w:val="Normal"/>
    <w:rsid w:val="00C12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
    <w:name w:val="au"/>
    <w:basedOn w:val="DefaultParagraphFont"/>
    <w:rsid w:val="00C12495"/>
  </w:style>
  <w:style w:type="character" w:customStyle="1" w:styleId="am">
    <w:name w:val="am"/>
    <w:basedOn w:val="DefaultParagraphFont"/>
    <w:rsid w:val="00C12495"/>
  </w:style>
  <w:style w:type="character" w:customStyle="1" w:styleId="bj">
    <w:name w:val="bj"/>
    <w:basedOn w:val="DefaultParagraphFont"/>
    <w:rsid w:val="00C12495"/>
  </w:style>
  <w:style w:type="character" w:customStyle="1" w:styleId="al">
    <w:name w:val="al"/>
    <w:basedOn w:val="DefaultParagraphFont"/>
    <w:rsid w:val="00C12495"/>
  </w:style>
  <w:style w:type="paragraph" w:styleId="Header">
    <w:name w:val="header"/>
    <w:basedOn w:val="Normal"/>
    <w:link w:val="HeaderChar"/>
    <w:uiPriority w:val="99"/>
    <w:unhideWhenUsed/>
    <w:rsid w:val="00001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6EB"/>
  </w:style>
  <w:style w:type="paragraph" w:styleId="BalloonText">
    <w:name w:val="Balloon Text"/>
    <w:basedOn w:val="Normal"/>
    <w:link w:val="BalloonTextChar"/>
    <w:uiPriority w:val="99"/>
    <w:semiHidden/>
    <w:unhideWhenUsed/>
    <w:rsid w:val="004D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Sarah Atwell-King</cp:lastModifiedBy>
  <cp:revision>16</cp:revision>
  <dcterms:created xsi:type="dcterms:W3CDTF">2020-04-22T14:16:00Z</dcterms:created>
  <dcterms:modified xsi:type="dcterms:W3CDTF">2020-04-28T13:24:00Z</dcterms:modified>
</cp:coreProperties>
</file>