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90F" w14:textId="77777777" w:rsidR="00806109" w:rsidRDefault="005A516E" w:rsidP="00806109">
      <w:pPr>
        <w:pStyle w:val="BodyText"/>
        <w:rPr>
          <w:b/>
          <w:bCs/>
          <w:sz w:val="30"/>
          <w:szCs w:val="30"/>
        </w:rPr>
      </w:pPr>
      <w:r>
        <w:rPr>
          <w:noProof/>
          <w:lang w:eastAsia="en-GB"/>
        </w:rPr>
        <w:drawing>
          <wp:anchor distT="0" distB="0" distL="114300" distR="114300" simplePos="0" relativeHeight="251659264" behindDoc="1" locked="0" layoutInCell="1" allowOverlap="1" wp14:anchorId="69DF699D" wp14:editId="3AE39948">
            <wp:simplePos x="0" y="0"/>
            <wp:positionH relativeFrom="column">
              <wp:posOffset>0</wp:posOffset>
            </wp:positionH>
            <wp:positionV relativeFrom="paragraph">
              <wp:posOffset>0</wp:posOffset>
            </wp:positionV>
            <wp:extent cx="7550025"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SC Work/3DX-RAY/3DX3727 Stationery/Elements/3DX-RAY 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002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FC0E1" w14:textId="77777777" w:rsidR="00806109" w:rsidRDefault="00806109" w:rsidP="00806109">
      <w:pPr>
        <w:pStyle w:val="BodyText"/>
        <w:rPr>
          <w:b/>
          <w:bCs/>
          <w:sz w:val="30"/>
          <w:szCs w:val="30"/>
        </w:rPr>
      </w:pPr>
    </w:p>
    <w:p w14:paraId="6B376CEC" w14:textId="77777777" w:rsidR="00806109" w:rsidRDefault="00806109" w:rsidP="005A516E">
      <w:pPr>
        <w:pStyle w:val="BodyText"/>
        <w:jc w:val="right"/>
        <w:rPr>
          <w:b/>
          <w:bCs/>
          <w:sz w:val="30"/>
          <w:szCs w:val="30"/>
        </w:rPr>
      </w:pPr>
    </w:p>
    <w:p w14:paraId="485A9D3C" w14:textId="77777777" w:rsidR="00806109" w:rsidRDefault="00806109" w:rsidP="00806109">
      <w:pPr>
        <w:pStyle w:val="BodyText"/>
        <w:rPr>
          <w:b/>
          <w:bCs/>
          <w:sz w:val="30"/>
          <w:szCs w:val="30"/>
        </w:rPr>
      </w:pPr>
    </w:p>
    <w:p w14:paraId="574ED83E" w14:textId="77777777" w:rsidR="00806109" w:rsidRDefault="00806109" w:rsidP="00806109">
      <w:pPr>
        <w:pStyle w:val="BodyText"/>
        <w:rPr>
          <w:b/>
          <w:bCs/>
          <w:sz w:val="30"/>
          <w:szCs w:val="30"/>
        </w:rPr>
      </w:pPr>
    </w:p>
    <w:p w14:paraId="06CAAD60" w14:textId="77777777" w:rsidR="00806109" w:rsidRDefault="00806109" w:rsidP="00806109">
      <w:pPr>
        <w:pStyle w:val="BodyText"/>
        <w:rPr>
          <w:b/>
          <w:bCs/>
          <w:sz w:val="30"/>
          <w:szCs w:val="30"/>
        </w:rPr>
      </w:pPr>
    </w:p>
    <w:p w14:paraId="2869F01A" w14:textId="77777777" w:rsidR="00806109" w:rsidRDefault="00806109" w:rsidP="00806109">
      <w:pPr>
        <w:pStyle w:val="BodyText"/>
        <w:rPr>
          <w:b/>
          <w:bCs/>
          <w:sz w:val="30"/>
          <w:szCs w:val="30"/>
        </w:rPr>
      </w:pPr>
    </w:p>
    <w:p w14:paraId="032CE014" w14:textId="77777777" w:rsidR="00806109" w:rsidRDefault="00806109" w:rsidP="00806109">
      <w:pPr>
        <w:pStyle w:val="BodyText"/>
        <w:rPr>
          <w:b/>
          <w:bCs/>
          <w:sz w:val="30"/>
          <w:szCs w:val="30"/>
        </w:rPr>
      </w:pPr>
    </w:p>
    <w:p w14:paraId="6B9D0F71" w14:textId="77777777" w:rsidR="00806109" w:rsidRDefault="00806109" w:rsidP="00806109">
      <w:pPr>
        <w:pStyle w:val="BodyText"/>
        <w:rPr>
          <w:b/>
          <w:bCs/>
          <w:sz w:val="30"/>
          <w:szCs w:val="30"/>
        </w:rPr>
      </w:pPr>
    </w:p>
    <w:p w14:paraId="03665A64" w14:textId="77777777" w:rsidR="00806109" w:rsidRDefault="00806109" w:rsidP="00806109">
      <w:pPr>
        <w:pStyle w:val="BodyText"/>
        <w:rPr>
          <w:b/>
          <w:bCs/>
          <w:sz w:val="30"/>
          <w:szCs w:val="30"/>
        </w:rPr>
      </w:pPr>
    </w:p>
    <w:p w14:paraId="08A66DF2" w14:textId="77777777" w:rsidR="00806109" w:rsidRDefault="00806109" w:rsidP="00806109">
      <w:pPr>
        <w:pStyle w:val="BodyText"/>
        <w:rPr>
          <w:b/>
          <w:bCs/>
          <w:sz w:val="30"/>
          <w:szCs w:val="30"/>
        </w:rPr>
      </w:pPr>
    </w:p>
    <w:p w14:paraId="73D4988E" w14:textId="77777777" w:rsidR="00806109" w:rsidRDefault="00806109" w:rsidP="00806109">
      <w:pPr>
        <w:pStyle w:val="BodyText"/>
        <w:rPr>
          <w:b/>
          <w:bCs/>
          <w:sz w:val="30"/>
          <w:szCs w:val="30"/>
        </w:rPr>
      </w:pPr>
    </w:p>
    <w:p w14:paraId="3DED6FE7" w14:textId="77777777" w:rsidR="00806109" w:rsidRDefault="00806109" w:rsidP="00806109">
      <w:pPr>
        <w:pStyle w:val="BodyText"/>
        <w:rPr>
          <w:b/>
          <w:bCs/>
          <w:sz w:val="30"/>
          <w:szCs w:val="30"/>
        </w:rPr>
      </w:pPr>
    </w:p>
    <w:p w14:paraId="58EAD58C" w14:textId="77777777" w:rsidR="00806109" w:rsidRDefault="00806109" w:rsidP="00806109">
      <w:pPr>
        <w:pStyle w:val="BodyText"/>
        <w:rPr>
          <w:b/>
          <w:bCs/>
          <w:sz w:val="30"/>
          <w:szCs w:val="30"/>
        </w:rPr>
      </w:pPr>
    </w:p>
    <w:p w14:paraId="440F3387" w14:textId="77777777" w:rsidR="00806109" w:rsidRDefault="00806109" w:rsidP="00806109">
      <w:pPr>
        <w:pStyle w:val="BodyText"/>
        <w:rPr>
          <w:b/>
          <w:bCs/>
          <w:sz w:val="30"/>
          <w:szCs w:val="30"/>
        </w:rPr>
      </w:pPr>
    </w:p>
    <w:p w14:paraId="16388974" w14:textId="77777777" w:rsidR="00806109" w:rsidRPr="00B80ED3" w:rsidRDefault="00806109" w:rsidP="00806109">
      <w:pPr>
        <w:pStyle w:val="BodyText"/>
        <w:jc w:val="right"/>
        <w:rPr>
          <w:b/>
          <w:sz w:val="72"/>
          <w:szCs w:val="72"/>
        </w:rPr>
      </w:pPr>
      <w:r w:rsidRPr="00B80ED3">
        <w:rPr>
          <w:b/>
          <w:sz w:val="72"/>
          <w:szCs w:val="72"/>
        </w:rPr>
        <w:t>Image Scan Holdings plc</w:t>
      </w:r>
    </w:p>
    <w:p w14:paraId="11FDDE97" w14:textId="77777777" w:rsidR="00806109" w:rsidRDefault="00806109" w:rsidP="00806109">
      <w:pPr>
        <w:pStyle w:val="BodyText"/>
        <w:jc w:val="center"/>
        <w:rPr>
          <w:b/>
          <w:sz w:val="48"/>
          <w:szCs w:val="48"/>
        </w:rPr>
      </w:pPr>
    </w:p>
    <w:p w14:paraId="53510A37" w14:textId="77777777" w:rsidR="00806109" w:rsidRPr="00B80ED3" w:rsidRDefault="008F0CE5" w:rsidP="00806109">
      <w:pPr>
        <w:pStyle w:val="BodyText"/>
        <w:jc w:val="center"/>
        <w:rPr>
          <w:b/>
          <w:sz w:val="48"/>
          <w:szCs w:val="48"/>
        </w:rPr>
      </w:pPr>
      <w:r>
        <w:rPr>
          <w:b/>
          <w:sz w:val="48"/>
          <w:szCs w:val="48"/>
        </w:rPr>
        <w:t>Interim report 201</w:t>
      </w:r>
      <w:r w:rsidR="00F16B5F">
        <w:rPr>
          <w:b/>
          <w:sz w:val="48"/>
          <w:szCs w:val="48"/>
        </w:rPr>
        <w:t>9</w:t>
      </w:r>
    </w:p>
    <w:p w14:paraId="6701C522" w14:textId="77777777" w:rsidR="00806109" w:rsidRDefault="00806109">
      <w:pPr>
        <w:spacing w:after="160" w:line="259" w:lineRule="auto"/>
        <w:rPr>
          <w:rFonts w:ascii="Arial" w:hAnsi="Arial" w:cs="Arial"/>
          <w:b/>
          <w:bCs/>
          <w:sz w:val="30"/>
          <w:szCs w:val="30"/>
        </w:rPr>
      </w:pPr>
      <w:r>
        <w:rPr>
          <w:rFonts w:ascii="Arial" w:hAnsi="Arial" w:cs="Arial"/>
          <w:b/>
          <w:bCs/>
          <w:sz w:val="30"/>
          <w:szCs w:val="30"/>
        </w:rPr>
        <w:br w:type="page"/>
      </w:r>
    </w:p>
    <w:p w14:paraId="49F48B6F" w14:textId="77777777" w:rsidR="0083113C" w:rsidRDefault="0083113C">
      <w:pPr>
        <w:spacing w:after="160" w:line="259" w:lineRule="auto"/>
        <w:rPr>
          <w:rFonts w:ascii="Arial" w:hAnsi="Arial" w:cs="Arial"/>
          <w:b/>
          <w:bCs/>
          <w:sz w:val="30"/>
          <w:szCs w:val="30"/>
        </w:rPr>
      </w:pPr>
    </w:p>
    <w:p w14:paraId="4595F23F" w14:textId="77777777" w:rsidR="00B60027" w:rsidRDefault="00B60027" w:rsidP="00B60027">
      <w:pPr>
        <w:rPr>
          <w:rFonts w:ascii="Arial" w:hAnsi="Arial" w:cs="Arial"/>
          <w:b/>
          <w:bCs/>
          <w:sz w:val="30"/>
          <w:szCs w:val="30"/>
        </w:rPr>
      </w:pPr>
      <w:r w:rsidRPr="00792C98">
        <w:rPr>
          <w:rFonts w:ascii="Arial" w:hAnsi="Arial" w:cs="Arial"/>
          <w:b/>
          <w:bCs/>
          <w:sz w:val="30"/>
          <w:szCs w:val="30"/>
        </w:rPr>
        <w:t>Chairman’s statement</w:t>
      </w:r>
    </w:p>
    <w:p w14:paraId="247B3B52" w14:textId="77777777" w:rsidR="00F16B5F" w:rsidRPr="002F44AF" w:rsidRDefault="00F16B5F" w:rsidP="00F16B5F">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Chairman's statement</w:t>
      </w:r>
    </w:p>
    <w:p w14:paraId="269F89DD" w14:textId="77777777" w:rsidR="00F16B5F" w:rsidRPr="002F44AF" w:rsidRDefault="00F16B5F" w:rsidP="00F16B5F">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178AB4A" w14:textId="77777777" w:rsidR="00F16B5F" w:rsidRPr="002F44AF" w:rsidRDefault="00F16B5F" w:rsidP="00F16B5F">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Introduction</w:t>
      </w:r>
    </w:p>
    <w:p w14:paraId="1D502514"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Image Scan Holdings plc is a specialist in innovative X-ray technology, operating globally in the security and industrial inspection sectors. The Company's principal activity is the design, manufacture and supply of both portable and fixed X-ray security screening systems to governments, security organisations and law enforcement agencies. The Company also supplies high-quality image acquisition systems for non-destructive testing to commercial organisations worldwide.</w:t>
      </w:r>
    </w:p>
    <w:p w14:paraId="26AB3906"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11B75CF8" w14:textId="77777777" w:rsidR="00F16B5F" w:rsidRPr="002F44AF" w:rsidRDefault="00F16B5F" w:rsidP="00F16B5F">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Financial results</w:t>
      </w:r>
    </w:p>
    <w:p w14:paraId="42765C01"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New order intake was steady at £2.1m, though that figure includes an increase in orders received for portable X-ray systems of 14% over the equivalent period in the prior year.</w:t>
      </w:r>
    </w:p>
    <w:p w14:paraId="51B457E5"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E9CDB9D"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Revenues for the six months ended 31 March 2019 were £1.4m, (2018: £2.0) which included an order for 20 portable security units delivered to a South East Asian customer close to the period end. Gross margin was increased to 47% (2018:42%) reflecting good margins on security orders.</w:t>
      </w:r>
    </w:p>
    <w:p w14:paraId="32A1CD55"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44F11AC"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Overhead costs increased to £854k (2018: £793k) and included an increase in R&amp;D spend across a number of key projects. The business made a pre-tax loss of £178k (2018: profit of £39k).</w:t>
      </w:r>
    </w:p>
    <w:p w14:paraId="68659427"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1BF17D81"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Company finished the period with an order book of £1.0m (2018: £1.1m) and a cash balance of £750k (2018: £752k)</w:t>
      </w:r>
    </w:p>
    <w:p w14:paraId="1A686F78"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3890B83" w14:textId="77777777" w:rsidR="00F16B5F" w:rsidRPr="002F44AF" w:rsidRDefault="00F16B5F" w:rsidP="00F16B5F">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Overview</w:t>
      </w:r>
    </w:p>
    <w:p w14:paraId="2B8B6DEB"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While it is good to see portable </w:t>
      </w:r>
      <w:proofErr w:type="gramStart"/>
      <w:r w:rsidRPr="002F44AF">
        <w:rPr>
          <w:rFonts w:ascii="Arial" w:eastAsia="Times New Roman" w:hAnsi="Arial" w:cs="Arial"/>
          <w:color w:val="000000"/>
          <w:sz w:val="20"/>
          <w:szCs w:val="20"/>
          <w:lang w:eastAsia="en-GB"/>
        </w:rPr>
        <w:t>X-ray</w:t>
      </w:r>
      <w:proofErr w:type="gramEnd"/>
      <w:r w:rsidRPr="002F44AF">
        <w:rPr>
          <w:rFonts w:ascii="Arial" w:eastAsia="Times New Roman" w:hAnsi="Arial" w:cs="Arial"/>
          <w:color w:val="000000"/>
          <w:sz w:val="20"/>
          <w:szCs w:val="20"/>
          <w:lang w:eastAsia="en-GB"/>
        </w:rPr>
        <w:t xml:space="preserve"> orders increase over the prior period, we recognise that we still have some way to go to reach the record levels recorded in FY17. Key security customers in the period were in South East Asia while shows were attended and demonstrations carried out in South America, Asia and Europe. The business is fully focussed on getting its product to market and has an extensive programme of customer demonstrations and trials organised over the coming months.</w:t>
      </w:r>
    </w:p>
    <w:p w14:paraId="1F04953C"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DDDCF81"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Revenues were behind management expectations at the end of the period, reflecting the unpredictable nature of Government procurement processes. However, with customer decisions due on several key projects, activity is expected to increase in the second half.</w:t>
      </w:r>
    </w:p>
    <w:p w14:paraId="116E3DE4"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D4905E1"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A number of initiatives are underway to further increase security sales. These including an upgrade programme for existing ThreatScan®LS1 users, including panel and communications upgrades and the ability to use X-ray film with the system.</w:t>
      </w:r>
    </w:p>
    <w:p w14:paraId="05736F78"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8880332"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Company has launched a new development project, based on our existing technologies, that will produce a new X-ray security system that will be taken to market through our existing network of international partners. A prototype should be available by the end of 2019.</w:t>
      </w:r>
    </w:p>
    <w:p w14:paraId="54EF5C45"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7DB3AB5D"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In the industrial area, the period has seen deployments of multiple systems to both India and China, as our major customers respond to demand driven by tighter emissions control regulations in those countries. We finish the period with three further units in the order book and being manufactured for delivery in H2. We have over 90% of all industrial systems in the field under valuable service and support contracts.</w:t>
      </w:r>
    </w:p>
    <w:p w14:paraId="70C208FE"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EDFDC00" w14:textId="77777777" w:rsidR="00F16B5F" w:rsidRDefault="00F16B5F">
      <w:pPr>
        <w:spacing w:after="160" w:line="259"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14:paraId="4D07E336" w14:textId="77777777" w:rsidR="00F16B5F" w:rsidRPr="002F44AF" w:rsidRDefault="00F16B5F" w:rsidP="00F16B5F">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lastRenderedPageBreak/>
        <w:t>Outlook</w:t>
      </w:r>
    </w:p>
    <w:p w14:paraId="42A46815"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Company continues to see strong demand in both its significant product ranges. In security, there is a good pipeline of opportunities and the team is working hard to convert these into orders. We continue to expand the market footprint and frequently add new partners to our network. In industrial, our major customers are selectively building capacity in regions where tighter emissions control legislation, particularly for diesel engines, is driving demand, and this should continue to yield orders for our inspections systems. The addition of new industrial systems to our service scheme will provide additional recurring income.</w:t>
      </w:r>
    </w:p>
    <w:p w14:paraId="3839C2D3"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1AF3E049"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In order to drive short to medium growth for the business we are now developing new X-ray inspection systems and have a pipeline of such projects. We expect to start seeing revenue from the first of these projects in the next financial year.</w:t>
      </w:r>
    </w:p>
    <w:p w14:paraId="18F01CE0" w14:textId="77777777" w:rsidR="00F16B5F" w:rsidRPr="002F44AF" w:rsidRDefault="00F16B5F" w:rsidP="00F16B5F">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4E90745F"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staff at Image Scan continue to be enthusiastic, dedicated and creative and on behalf of my fellow Board members, I would like to formally thank our staff for their contribution during this period.</w:t>
      </w:r>
    </w:p>
    <w:p w14:paraId="16CD46CB"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C218AE6"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Board and staff of Image Scan look forward to the future with confidence.</w:t>
      </w:r>
    </w:p>
    <w:p w14:paraId="0DDA7964" w14:textId="77777777" w:rsidR="00F16B5F" w:rsidRPr="002F44AF" w:rsidRDefault="00F16B5F" w:rsidP="00F16B5F">
      <w:pPr>
        <w:spacing w:before="40" w:after="40" w:line="207" w:lineRule="atLeast"/>
        <w:jc w:val="both"/>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116FB105" w14:textId="77777777" w:rsidR="00F16B5F" w:rsidRPr="002F44AF" w:rsidRDefault="00F16B5F" w:rsidP="00F16B5F">
      <w:pPr>
        <w:spacing w:after="0" w:line="253" w:lineRule="atLeast"/>
        <w:jc w:val="both"/>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Bill Mawer</w:t>
      </w:r>
    </w:p>
    <w:p w14:paraId="04E6CF6E" w14:textId="77777777" w:rsidR="00F16B5F" w:rsidRPr="002F44AF" w:rsidRDefault="00F16B5F" w:rsidP="00F16B5F">
      <w:pPr>
        <w:spacing w:after="0" w:line="253" w:lineRule="atLeast"/>
        <w:jc w:val="both"/>
        <w:rPr>
          <w:rFonts w:ascii="Calibri" w:eastAsia="Times New Roman" w:hAnsi="Calibri" w:cs="Calibri"/>
          <w:b/>
          <w:bCs/>
          <w:i/>
          <w:iCs/>
          <w:color w:val="000000"/>
          <w:lang w:eastAsia="en-GB"/>
        </w:rPr>
      </w:pPr>
      <w:r w:rsidRPr="002F44AF">
        <w:rPr>
          <w:rFonts w:ascii="Arial" w:eastAsia="Times New Roman" w:hAnsi="Arial" w:cs="Arial"/>
          <w:b/>
          <w:bCs/>
          <w:i/>
          <w:iCs/>
          <w:color w:val="000000"/>
          <w:sz w:val="20"/>
          <w:szCs w:val="20"/>
          <w:lang w:eastAsia="en-GB"/>
        </w:rPr>
        <w:t>Chairman and Chief Executive Officer</w:t>
      </w:r>
    </w:p>
    <w:p w14:paraId="25B074CC" w14:textId="77777777" w:rsidR="00F16B5F" w:rsidRPr="002F44AF" w:rsidRDefault="00F16B5F" w:rsidP="00F16B5F">
      <w:pPr>
        <w:spacing w:after="0" w:line="253" w:lineRule="atLeast"/>
        <w:jc w:val="both"/>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25/04/2019</w:t>
      </w:r>
    </w:p>
    <w:p w14:paraId="7D7D74AC" w14:textId="77777777" w:rsidR="00F415E5" w:rsidRDefault="00F415E5">
      <w:pPr>
        <w:spacing w:after="160" w:line="259" w:lineRule="auto"/>
        <w:rPr>
          <w:rFonts w:ascii="Arial" w:hAnsi="Arial" w:cs="Arial"/>
          <w:color w:val="000000"/>
          <w:sz w:val="32"/>
          <w:szCs w:val="32"/>
        </w:rPr>
      </w:pPr>
      <w:r>
        <w:br w:type="page"/>
      </w:r>
    </w:p>
    <w:p w14:paraId="51FDC44E" w14:textId="77777777" w:rsidR="002C5B2A" w:rsidRPr="002C5B2A" w:rsidRDefault="002C5B2A" w:rsidP="002C5B2A">
      <w:pPr>
        <w:spacing w:after="0" w:line="36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lastRenderedPageBreak/>
        <w:t>Consolidated income statement</w:t>
      </w:r>
    </w:p>
    <w:p w14:paraId="0F60B869" w14:textId="77777777" w:rsidR="002C5B2A" w:rsidRPr="002C5B2A" w:rsidRDefault="002C5B2A" w:rsidP="002C5B2A">
      <w:pPr>
        <w:spacing w:after="0" w:line="24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t>For the six months ended 31 March 2019</w:t>
      </w:r>
    </w:p>
    <w:p w14:paraId="0C8F3FFB"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332" w:type="dxa"/>
        <w:tblInd w:w="8" w:type="dxa"/>
        <w:tblCellMar>
          <w:left w:w="0" w:type="dxa"/>
          <w:right w:w="0" w:type="dxa"/>
        </w:tblCellMar>
        <w:tblLook w:val="04A0" w:firstRow="1" w:lastRow="0" w:firstColumn="1" w:lastColumn="0" w:noHBand="0" w:noVBand="1"/>
      </w:tblPr>
      <w:tblGrid>
        <w:gridCol w:w="5369"/>
        <w:gridCol w:w="628"/>
        <w:gridCol w:w="1140"/>
        <w:gridCol w:w="1131"/>
        <w:gridCol w:w="1064"/>
      </w:tblGrid>
      <w:tr w:rsidR="002C5B2A" w:rsidRPr="002F44AF" w14:paraId="60CF2E12" w14:textId="77777777" w:rsidTr="002C5B2A">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6E963D9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628" w:type="dxa"/>
            <w:tcBorders>
              <w:top w:val="dotted" w:sz="8" w:space="0" w:color="auto"/>
              <w:left w:val="nil"/>
              <w:bottom w:val="dotted" w:sz="8" w:space="0" w:color="auto"/>
              <w:right w:val="dotted" w:sz="8" w:space="0" w:color="auto"/>
            </w:tcBorders>
            <w:vAlign w:val="bottom"/>
            <w:hideMark/>
          </w:tcPr>
          <w:p w14:paraId="14C6FAD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Note</w:t>
            </w:r>
          </w:p>
        </w:tc>
        <w:tc>
          <w:tcPr>
            <w:tcW w:w="1140" w:type="dxa"/>
            <w:tcBorders>
              <w:top w:val="dotted" w:sz="8" w:space="0" w:color="auto"/>
              <w:left w:val="nil"/>
              <w:bottom w:val="dotted" w:sz="8" w:space="0" w:color="auto"/>
              <w:right w:val="dotted" w:sz="8" w:space="0" w:color="auto"/>
            </w:tcBorders>
            <w:hideMark/>
          </w:tcPr>
          <w:p w14:paraId="3092E51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0E6BD0B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5933C8A3"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2019</w:t>
            </w:r>
          </w:p>
          <w:p w14:paraId="32A4F73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7DAD0FA8"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733EAAF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630FD2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606B8E2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2018</w:t>
            </w:r>
          </w:p>
          <w:p w14:paraId="1939BD6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57249BB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064" w:type="dxa"/>
            <w:tcBorders>
              <w:top w:val="dotted" w:sz="8" w:space="0" w:color="auto"/>
              <w:left w:val="nil"/>
              <w:bottom w:val="dotted" w:sz="8" w:space="0" w:color="auto"/>
              <w:right w:val="dotted" w:sz="8" w:space="0" w:color="auto"/>
            </w:tcBorders>
            <w:vAlign w:val="bottom"/>
            <w:hideMark/>
          </w:tcPr>
          <w:p w14:paraId="3277BB1D"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3652216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07D7318D"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2018</w:t>
            </w:r>
          </w:p>
          <w:p w14:paraId="6594A13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11FAE27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0B011B37"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07275AE2" w14:textId="77777777" w:rsidR="002C5B2A" w:rsidRPr="002F44AF" w:rsidRDefault="002C5B2A" w:rsidP="00A00BE9">
            <w:pPr>
              <w:spacing w:after="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Revenue</w:t>
            </w:r>
          </w:p>
        </w:tc>
        <w:tc>
          <w:tcPr>
            <w:tcW w:w="628" w:type="dxa"/>
            <w:tcBorders>
              <w:top w:val="nil"/>
              <w:left w:val="nil"/>
              <w:bottom w:val="dotted" w:sz="8" w:space="0" w:color="auto"/>
              <w:right w:val="dotted" w:sz="8" w:space="0" w:color="auto"/>
            </w:tcBorders>
            <w:vAlign w:val="bottom"/>
            <w:hideMark/>
          </w:tcPr>
          <w:p w14:paraId="0BD64AA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36F98A4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1,423</w:t>
            </w:r>
          </w:p>
        </w:tc>
        <w:tc>
          <w:tcPr>
            <w:tcW w:w="1131" w:type="dxa"/>
            <w:tcBorders>
              <w:top w:val="nil"/>
              <w:left w:val="nil"/>
              <w:bottom w:val="dotted" w:sz="8" w:space="0" w:color="auto"/>
              <w:right w:val="dotted" w:sz="8" w:space="0" w:color="auto"/>
            </w:tcBorders>
            <w:vAlign w:val="bottom"/>
            <w:hideMark/>
          </w:tcPr>
          <w:p w14:paraId="1E3AC1C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1,990</w:t>
            </w:r>
          </w:p>
        </w:tc>
        <w:tc>
          <w:tcPr>
            <w:tcW w:w="1064" w:type="dxa"/>
            <w:tcBorders>
              <w:top w:val="nil"/>
              <w:left w:val="nil"/>
              <w:bottom w:val="dotted" w:sz="8" w:space="0" w:color="auto"/>
              <w:right w:val="dotted" w:sz="8" w:space="0" w:color="auto"/>
            </w:tcBorders>
            <w:vAlign w:val="bottom"/>
            <w:hideMark/>
          </w:tcPr>
          <w:p w14:paraId="4F29A08D"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3,465</w:t>
            </w:r>
          </w:p>
        </w:tc>
      </w:tr>
      <w:tr w:rsidR="002C5B2A" w:rsidRPr="002F44AF" w14:paraId="6A680CFC"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447DC63A"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Cost of sales</w:t>
            </w:r>
          </w:p>
        </w:tc>
        <w:tc>
          <w:tcPr>
            <w:tcW w:w="628" w:type="dxa"/>
            <w:tcBorders>
              <w:top w:val="nil"/>
              <w:left w:val="nil"/>
              <w:bottom w:val="dotted" w:sz="8" w:space="0" w:color="auto"/>
              <w:right w:val="dotted" w:sz="8" w:space="0" w:color="auto"/>
            </w:tcBorders>
            <w:vAlign w:val="bottom"/>
            <w:hideMark/>
          </w:tcPr>
          <w:p w14:paraId="282A703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7F1FE35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(747)</w:t>
            </w:r>
          </w:p>
        </w:tc>
        <w:tc>
          <w:tcPr>
            <w:tcW w:w="1131" w:type="dxa"/>
            <w:tcBorders>
              <w:top w:val="nil"/>
              <w:left w:val="nil"/>
              <w:bottom w:val="dotted" w:sz="8" w:space="0" w:color="auto"/>
              <w:right w:val="dotted" w:sz="8" w:space="0" w:color="auto"/>
            </w:tcBorders>
            <w:vAlign w:val="bottom"/>
            <w:hideMark/>
          </w:tcPr>
          <w:p w14:paraId="0560858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(1,158)</w:t>
            </w:r>
          </w:p>
        </w:tc>
        <w:tc>
          <w:tcPr>
            <w:tcW w:w="1064" w:type="dxa"/>
            <w:tcBorders>
              <w:top w:val="nil"/>
              <w:left w:val="nil"/>
              <w:bottom w:val="dotted" w:sz="8" w:space="0" w:color="auto"/>
              <w:right w:val="dotted" w:sz="8" w:space="0" w:color="auto"/>
            </w:tcBorders>
            <w:vAlign w:val="bottom"/>
            <w:hideMark/>
          </w:tcPr>
          <w:p w14:paraId="62EE48B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(1,820)</w:t>
            </w:r>
          </w:p>
        </w:tc>
      </w:tr>
      <w:tr w:rsidR="002C5B2A" w:rsidRPr="002F44AF" w14:paraId="07F7659E"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34C71975"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Gross profit</w:t>
            </w:r>
          </w:p>
        </w:tc>
        <w:tc>
          <w:tcPr>
            <w:tcW w:w="628" w:type="dxa"/>
            <w:tcBorders>
              <w:top w:val="nil"/>
              <w:left w:val="nil"/>
              <w:bottom w:val="dotted" w:sz="8" w:space="0" w:color="auto"/>
              <w:right w:val="dotted" w:sz="8" w:space="0" w:color="auto"/>
            </w:tcBorders>
            <w:vAlign w:val="bottom"/>
            <w:hideMark/>
          </w:tcPr>
          <w:p w14:paraId="5528654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09C27BD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676</w:t>
            </w:r>
          </w:p>
        </w:tc>
        <w:tc>
          <w:tcPr>
            <w:tcW w:w="1131" w:type="dxa"/>
            <w:tcBorders>
              <w:top w:val="nil"/>
              <w:left w:val="nil"/>
              <w:bottom w:val="dotted" w:sz="8" w:space="0" w:color="auto"/>
              <w:right w:val="dotted" w:sz="8" w:space="0" w:color="auto"/>
            </w:tcBorders>
            <w:vAlign w:val="bottom"/>
            <w:hideMark/>
          </w:tcPr>
          <w:p w14:paraId="0514895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832</w:t>
            </w:r>
          </w:p>
        </w:tc>
        <w:tc>
          <w:tcPr>
            <w:tcW w:w="1064" w:type="dxa"/>
            <w:tcBorders>
              <w:top w:val="nil"/>
              <w:left w:val="nil"/>
              <w:bottom w:val="dotted" w:sz="8" w:space="0" w:color="auto"/>
              <w:right w:val="dotted" w:sz="8" w:space="0" w:color="auto"/>
            </w:tcBorders>
            <w:vAlign w:val="bottom"/>
            <w:hideMark/>
          </w:tcPr>
          <w:p w14:paraId="7FE4CF73"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1,645</w:t>
            </w:r>
          </w:p>
        </w:tc>
      </w:tr>
      <w:tr w:rsidR="002C5B2A" w:rsidRPr="002F44AF" w14:paraId="213A8144"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3902152C"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Other operating income</w:t>
            </w:r>
          </w:p>
        </w:tc>
        <w:tc>
          <w:tcPr>
            <w:tcW w:w="628" w:type="dxa"/>
            <w:tcBorders>
              <w:top w:val="nil"/>
              <w:left w:val="nil"/>
              <w:bottom w:val="dotted" w:sz="8" w:space="0" w:color="auto"/>
              <w:right w:val="dotted" w:sz="8" w:space="0" w:color="auto"/>
            </w:tcBorders>
            <w:vAlign w:val="bottom"/>
            <w:hideMark/>
          </w:tcPr>
          <w:p w14:paraId="1FF30A5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49E128F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5DEC5DE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064" w:type="dxa"/>
            <w:tcBorders>
              <w:top w:val="nil"/>
              <w:left w:val="nil"/>
              <w:bottom w:val="dotted" w:sz="8" w:space="0" w:color="auto"/>
              <w:right w:val="dotted" w:sz="8" w:space="0" w:color="auto"/>
            </w:tcBorders>
            <w:vAlign w:val="bottom"/>
            <w:hideMark/>
          </w:tcPr>
          <w:p w14:paraId="4FDB0AC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48</w:t>
            </w:r>
          </w:p>
        </w:tc>
      </w:tr>
      <w:tr w:rsidR="002C5B2A" w:rsidRPr="002F44AF" w14:paraId="66D202C2"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5C7DCDEA"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expenses</w:t>
            </w:r>
          </w:p>
        </w:tc>
        <w:tc>
          <w:tcPr>
            <w:tcW w:w="628" w:type="dxa"/>
            <w:tcBorders>
              <w:top w:val="nil"/>
              <w:left w:val="nil"/>
              <w:bottom w:val="dotted" w:sz="8" w:space="0" w:color="auto"/>
              <w:right w:val="dotted" w:sz="8" w:space="0" w:color="auto"/>
            </w:tcBorders>
            <w:vAlign w:val="bottom"/>
            <w:hideMark/>
          </w:tcPr>
          <w:p w14:paraId="61517D6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0E44816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(854)</w:t>
            </w:r>
          </w:p>
        </w:tc>
        <w:tc>
          <w:tcPr>
            <w:tcW w:w="1131" w:type="dxa"/>
            <w:tcBorders>
              <w:top w:val="nil"/>
              <w:left w:val="nil"/>
              <w:bottom w:val="dotted" w:sz="8" w:space="0" w:color="auto"/>
              <w:right w:val="dotted" w:sz="8" w:space="0" w:color="auto"/>
            </w:tcBorders>
            <w:vAlign w:val="bottom"/>
            <w:hideMark/>
          </w:tcPr>
          <w:p w14:paraId="752533F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(793)</w:t>
            </w:r>
          </w:p>
        </w:tc>
        <w:tc>
          <w:tcPr>
            <w:tcW w:w="1064" w:type="dxa"/>
            <w:tcBorders>
              <w:top w:val="nil"/>
              <w:left w:val="nil"/>
              <w:bottom w:val="dotted" w:sz="8" w:space="0" w:color="auto"/>
              <w:right w:val="dotted" w:sz="8" w:space="0" w:color="auto"/>
            </w:tcBorders>
            <w:vAlign w:val="bottom"/>
            <w:hideMark/>
          </w:tcPr>
          <w:p w14:paraId="2F478BF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(1,597)</w:t>
            </w:r>
          </w:p>
        </w:tc>
      </w:tr>
      <w:tr w:rsidR="002C5B2A" w:rsidRPr="002F44AF" w14:paraId="7FAB5CDE"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21C0BFDE"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Exceptional Items</w:t>
            </w:r>
          </w:p>
        </w:tc>
        <w:tc>
          <w:tcPr>
            <w:tcW w:w="628" w:type="dxa"/>
            <w:tcBorders>
              <w:top w:val="nil"/>
              <w:left w:val="nil"/>
              <w:bottom w:val="dotted" w:sz="8" w:space="0" w:color="auto"/>
              <w:right w:val="dotted" w:sz="8" w:space="0" w:color="auto"/>
            </w:tcBorders>
            <w:vAlign w:val="bottom"/>
            <w:hideMark/>
          </w:tcPr>
          <w:p w14:paraId="7A8D76F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201AFC3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4649987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064" w:type="dxa"/>
            <w:tcBorders>
              <w:top w:val="nil"/>
              <w:left w:val="nil"/>
              <w:bottom w:val="dotted" w:sz="8" w:space="0" w:color="auto"/>
              <w:right w:val="dotted" w:sz="8" w:space="0" w:color="auto"/>
            </w:tcBorders>
            <w:vAlign w:val="bottom"/>
            <w:hideMark/>
          </w:tcPr>
          <w:p w14:paraId="106B4E6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(251)</w:t>
            </w:r>
          </w:p>
        </w:tc>
      </w:tr>
      <w:tr w:rsidR="002C5B2A" w:rsidRPr="002F44AF" w14:paraId="73C07D0B"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6C16AB3B"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Operating profit</w:t>
            </w:r>
          </w:p>
        </w:tc>
        <w:tc>
          <w:tcPr>
            <w:tcW w:w="628" w:type="dxa"/>
            <w:tcBorders>
              <w:top w:val="nil"/>
              <w:left w:val="nil"/>
              <w:bottom w:val="dotted" w:sz="8" w:space="0" w:color="auto"/>
              <w:right w:val="dotted" w:sz="8" w:space="0" w:color="auto"/>
            </w:tcBorders>
            <w:vAlign w:val="bottom"/>
            <w:hideMark/>
          </w:tcPr>
          <w:p w14:paraId="3CB3D69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5A3B545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(178)</w:t>
            </w:r>
          </w:p>
        </w:tc>
        <w:tc>
          <w:tcPr>
            <w:tcW w:w="1131" w:type="dxa"/>
            <w:tcBorders>
              <w:top w:val="nil"/>
              <w:left w:val="nil"/>
              <w:bottom w:val="dotted" w:sz="8" w:space="0" w:color="auto"/>
              <w:right w:val="dotted" w:sz="8" w:space="0" w:color="auto"/>
            </w:tcBorders>
            <w:vAlign w:val="bottom"/>
            <w:hideMark/>
          </w:tcPr>
          <w:p w14:paraId="311E608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39</w:t>
            </w:r>
          </w:p>
        </w:tc>
        <w:tc>
          <w:tcPr>
            <w:tcW w:w="1064" w:type="dxa"/>
            <w:tcBorders>
              <w:top w:val="nil"/>
              <w:left w:val="nil"/>
              <w:bottom w:val="dotted" w:sz="8" w:space="0" w:color="auto"/>
              <w:right w:val="dotted" w:sz="8" w:space="0" w:color="auto"/>
            </w:tcBorders>
            <w:vAlign w:val="bottom"/>
            <w:hideMark/>
          </w:tcPr>
          <w:p w14:paraId="7569B7E3"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(155)</w:t>
            </w:r>
          </w:p>
        </w:tc>
      </w:tr>
      <w:tr w:rsidR="002C5B2A" w:rsidRPr="002F44AF" w14:paraId="2BFC01E9"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3A89F95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Finance income</w:t>
            </w:r>
          </w:p>
        </w:tc>
        <w:tc>
          <w:tcPr>
            <w:tcW w:w="628" w:type="dxa"/>
            <w:tcBorders>
              <w:top w:val="nil"/>
              <w:left w:val="nil"/>
              <w:bottom w:val="dotted" w:sz="8" w:space="0" w:color="auto"/>
              <w:right w:val="dotted" w:sz="8" w:space="0" w:color="auto"/>
            </w:tcBorders>
            <w:vAlign w:val="bottom"/>
            <w:hideMark/>
          </w:tcPr>
          <w:p w14:paraId="5A2E8F0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47323AB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6D034E4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064" w:type="dxa"/>
            <w:tcBorders>
              <w:top w:val="nil"/>
              <w:left w:val="nil"/>
              <w:bottom w:val="dotted" w:sz="8" w:space="0" w:color="auto"/>
              <w:right w:val="dotted" w:sz="8" w:space="0" w:color="auto"/>
            </w:tcBorders>
            <w:vAlign w:val="bottom"/>
            <w:hideMark/>
          </w:tcPr>
          <w:p w14:paraId="32DEE4C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w:t>
            </w:r>
          </w:p>
        </w:tc>
      </w:tr>
      <w:tr w:rsidR="002C5B2A" w:rsidRPr="002F44AF" w14:paraId="34D8874A"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7DE20A07" w14:textId="77777777" w:rsidR="002C5B2A" w:rsidRPr="002F44AF" w:rsidRDefault="002C5B2A" w:rsidP="00A00BE9">
            <w:pPr>
              <w:spacing w:after="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Profit before taxation</w:t>
            </w:r>
          </w:p>
        </w:tc>
        <w:tc>
          <w:tcPr>
            <w:tcW w:w="628" w:type="dxa"/>
            <w:tcBorders>
              <w:top w:val="nil"/>
              <w:left w:val="nil"/>
              <w:bottom w:val="dotted" w:sz="8" w:space="0" w:color="auto"/>
              <w:right w:val="dotted" w:sz="8" w:space="0" w:color="auto"/>
            </w:tcBorders>
            <w:vAlign w:val="bottom"/>
            <w:hideMark/>
          </w:tcPr>
          <w:p w14:paraId="63A7AC3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3285EB8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(178)</w:t>
            </w:r>
          </w:p>
        </w:tc>
        <w:tc>
          <w:tcPr>
            <w:tcW w:w="1131" w:type="dxa"/>
            <w:tcBorders>
              <w:top w:val="nil"/>
              <w:left w:val="nil"/>
              <w:bottom w:val="dotted" w:sz="8" w:space="0" w:color="auto"/>
              <w:right w:val="dotted" w:sz="8" w:space="0" w:color="auto"/>
            </w:tcBorders>
            <w:vAlign w:val="bottom"/>
            <w:hideMark/>
          </w:tcPr>
          <w:p w14:paraId="56A9936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39</w:t>
            </w:r>
          </w:p>
        </w:tc>
        <w:tc>
          <w:tcPr>
            <w:tcW w:w="1064" w:type="dxa"/>
            <w:tcBorders>
              <w:top w:val="nil"/>
              <w:left w:val="nil"/>
              <w:bottom w:val="dotted" w:sz="8" w:space="0" w:color="auto"/>
              <w:right w:val="dotted" w:sz="8" w:space="0" w:color="auto"/>
            </w:tcBorders>
            <w:vAlign w:val="bottom"/>
            <w:hideMark/>
          </w:tcPr>
          <w:p w14:paraId="4289A054"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(155)</w:t>
            </w:r>
          </w:p>
        </w:tc>
      </w:tr>
      <w:tr w:rsidR="002C5B2A" w:rsidRPr="002F44AF" w14:paraId="20BB3E72"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71CAF460"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Taxation</w:t>
            </w:r>
          </w:p>
        </w:tc>
        <w:tc>
          <w:tcPr>
            <w:tcW w:w="628" w:type="dxa"/>
            <w:tcBorders>
              <w:top w:val="nil"/>
              <w:left w:val="nil"/>
              <w:bottom w:val="dotted" w:sz="8" w:space="0" w:color="auto"/>
              <w:right w:val="dotted" w:sz="8" w:space="0" w:color="auto"/>
            </w:tcBorders>
            <w:vAlign w:val="bottom"/>
            <w:hideMark/>
          </w:tcPr>
          <w:p w14:paraId="120E068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3F1E3CD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0610FA5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064" w:type="dxa"/>
            <w:tcBorders>
              <w:top w:val="nil"/>
              <w:left w:val="nil"/>
              <w:bottom w:val="dotted" w:sz="8" w:space="0" w:color="auto"/>
              <w:right w:val="dotted" w:sz="8" w:space="0" w:color="auto"/>
            </w:tcBorders>
            <w:vAlign w:val="bottom"/>
            <w:hideMark/>
          </w:tcPr>
          <w:p w14:paraId="5460CD9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(65)</w:t>
            </w:r>
          </w:p>
        </w:tc>
      </w:tr>
      <w:tr w:rsidR="002C5B2A" w:rsidRPr="002F44AF" w14:paraId="0294BF00"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4A575E2D" w14:textId="77777777" w:rsidR="002C5B2A" w:rsidRPr="002F44AF" w:rsidRDefault="002C5B2A" w:rsidP="00A00BE9">
            <w:pPr>
              <w:spacing w:after="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(Loss0/profit for the period</w:t>
            </w:r>
          </w:p>
        </w:tc>
        <w:tc>
          <w:tcPr>
            <w:tcW w:w="628" w:type="dxa"/>
            <w:tcBorders>
              <w:top w:val="nil"/>
              <w:left w:val="nil"/>
              <w:bottom w:val="dotted" w:sz="8" w:space="0" w:color="auto"/>
              <w:right w:val="dotted" w:sz="8" w:space="0" w:color="auto"/>
            </w:tcBorders>
            <w:vAlign w:val="bottom"/>
            <w:hideMark/>
          </w:tcPr>
          <w:p w14:paraId="14C4B81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40" w:type="dxa"/>
            <w:tcBorders>
              <w:top w:val="nil"/>
              <w:left w:val="nil"/>
              <w:bottom w:val="dotted" w:sz="8" w:space="0" w:color="auto"/>
              <w:right w:val="dotted" w:sz="8" w:space="0" w:color="auto"/>
            </w:tcBorders>
            <w:hideMark/>
          </w:tcPr>
          <w:p w14:paraId="59D8339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(178)</w:t>
            </w:r>
          </w:p>
        </w:tc>
        <w:tc>
          <w:tcPr>
            <w:tcW w:w="1131" w:type="dxa"/>
            <w:tcBorders>
              <w:top w:val="nil"/>
              <w:left w:val="nil"/>
              <w:bottom w:val="dotted" w:sz="8" w:space="0" w:color="auto"/>
              <w:right w:val="dotted" w:sz="8" w:space="0" w:color="auto"/>
            </w:tcBorders>
            <w:vAlign w:val="bottom"/>
            <w:hideMark/>
          </w:tcPr>
          <w:p w14:paraId="563FCF6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39</w:t>
            </w:r>
          </w:p>
        </w:tc>
        <w:tc>
          <w:tcPr>
            <w:tcW w:w="1064" w:type="dxa"/>
            <w:tcBorders>
              <w:top w:val="nil"/>
              <w:left w:val="nil"/>
              <w:bottom w:val="dotted" w:sz="8" w:space="0" w:color="auto"/>
              <w:right w:val="dotted" w:sz="8" w:space="0" w:color="auto"/>
            </w:tcBorders>
            <w:vAlign w:val="bottom"/>
            <w:hideMark/>
          </w:tcPr>
          <w:p w14:paraId="6905121D"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(200)</w:t>
            </w:r>
          </w:p>
        </w:tc>
      </w:tr>
    </w:tbl>
    <w:p w14:paraId="1F701C06" w14:textId="77777777" w:rsidR="002C5B2A" w:rsidRPr="002F44AF" w:rsidRDefault="002C5B2A" w:rsidP="002C5B2A">
      <w:pPr>
        <w:spacing w:before="40" w:line="253" w:lineRule="atLeast"/>
        <w:textAlignment w:val="center"/>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tbl>
      <w:tblPr>
        <w:tblW w:w="9260" w:type="dxa"/>
        <w:tblInd w:w="8" w:type="dxa"/>
        <w:tblCellMar>
          <w:left w:w="0" w:type="dxa"/>
          <w:right w:w="0" w:type="dxa"/>
        </w:tblCellMar>
        <w:tblLook w:val="04A0" w:firstRow="1" w:lastRow="0" w:firstColumn="1" w:lastColumn="0" w:noHBand="0" w:noVBand="1"/>
      </w:tblPr>
      <w:tblGrid>
        <w:gridCol w:w="5369"/>
        <w:gridCol w:w="631"/>
        <w:gridCol w:w="1082"/>
        <w:gridCol w:w="1187"/>
        <w:gridCol w:w="991"/>
      </w:tblGrid>
      <w:tr w:rsidR="002C5B2A" w:rsidRPr="002F44AF" w14:paraId="3C4C2BDF" w14:textId="77777777" w:rsidTr="002C5B2A">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2AEFCE6D"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631" w:type="dxa"/>
            <w:tcBorders>
              <w:top w:val="dotted" w:sz="8" w:space="0" w:color="auto"/>
              <w:left w:val="nil"/>
              <w:bottom w:val="dotted" w:sz="8" w:space="0" w:color="auto"/>
              <w:right w:val="dotted" w:sz="8" w:space="0" w:color="auto"/>
            </w:tcBorders>
            <w:vAlign w:val="bottom"/>
            <w:hideMark/>
          </w:tcPr>
          <w:p w14:paraId="4CCEF793"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082" w:type="dxa"/>
            <w:tcBorders>
              <w:top w:val="dotted" w:sz="8" w:space="0" w:color="auto"/>
              <w:left w:val="nil"/>
              <w:bottom w:val="dotted" w:sz="8" w:space="0" w:color="auto"/>
              <w:right w:val="dotted" w:sz="8" w:space="0" w:color="auto"/>
            </w:tcBorders>
            <w:vAlign w:val="bottom"/>
            <w:hideMark/>
          </w:tcPr>
          <w:p w14:paraId="3AFCA34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Pence</w:t>
            </w:r>
          </w:p>
        </w:tc>
        <w:tc>
          <w:tcPr>
            <w:tcW w:w="1187" w:type="dxa"/>
            <w:tcBorders>
              <w:top w:val="dotted" w:sz="8" w:space="0" w:color="auto"/>
              <w:left w:val="nil"/>
              <w:bottom w:val="dotted" w:sz="8" w:space="0" w:color="auto"/>
              <w:right w:val="dotted" w:sz="8" w:space="0" w:color="auto"/>
            </w:tcBorders>
            <w:vAlign w:val="bottom"/>
            <w:hideMark/>
          </w:tcPr>
          <w:p w14:paraId="0910FC0B"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Pence</w:t>
            </w:r>
          </w:p>
        </w:tc>
        <w:tc>
          <w:tcPr>
            <w:tcW w:w="991" w:type="dxa"/>
            <w:tcBorders>
              <w:top w:val="dotted" w:sz="8" w:space="0" w:color="auto"/>
              <w:left w:val="nil"/>
              <w:bottom w:val="dotted" w:sz="8" w:space="0" w:color="auto"/>
              <w:right w:val="dotted" w:sz="8" w:space="0" w:color="auto"/>
            </w:tcBorders>
            <w:vAlign w:val="bottom"/>
            <w:hideMark/>
          </w:tcPr>
          <w:p w14:paraId="6BA1E146"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Pence</w:t>
            </w:r>
          </w:p>
        </w:tc>
      </w:tr>
      <w:tr w:rsidR="002C5B2A" w:rsidRPr="002F44AF" w14:paraId="6A5981BF"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513BE426"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Earnings per share</w:t>
            </w:r>
          </w:p>
        </w:tc>
        <w:tc>
          <w:tcPr>
            <w:tcW w:w="631" w:type="dxa"/>
            <w:tcBorders>
              <w:top w:val="nil"/>
              <w:left w:val="nil"/>
              <w:bottom w:val="dotted" w:sz="8" w:space="0" w:color="auto"/>
              <w:right w:val="dotted" w:sz="8" w:space="0" w:color="auto"/>
            </w:tcBorders>
            <w:vAlign w:val="bottom"/>
            <w:hideMark/>
          </w:tcPr>
          <w:p w14:paraId="01AC735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2" w:type="dxa"/>
            <w:tcBorders>
              <w:top w:val="nil"/>
              <w:left w:val="nil"/>
              <w:bottom w:val="dotted" w:sz="8" w:space="0" w:color="auto"/>
              <w:right w:val="dotted" w:sz="8" w:space="0" w:color="auto"/>
            </w:tcBorders>
            <w:vAlign w:val="bottom"/>
            <w:hideMark/>
          </w:tcPr>
          <w:p w14:paraId="4FD20C9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87" w:type="dxa"/>
            <w:tcBorders>
              <w:top w:val="nil"/>
              <w:left w:val="nil"/>
              <w:bottom w:val="dotted" w:sz="8" w:space="0" w:color="auto"/>
              <w:right w:val="dotted" w:sz="8" w:space="0" w:color="auto"/>
            </w:tcBorders>
            <w:vAlign w:val="bottom"/>
            <w:hideMark/>
          </w:tcPr>
          <w:p w14:paraId="483A3FA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1" w:type="dxa"/>
            <w:tcBorders>
              <w:top w:val="nil"/>
              <w:left w:val="nil"/>
              <w:bottom w:val="dotted" w:sz="8" w:space="0" w:color="auto"/>
              <w:right w:val="dotted" w:sz="8" w:space="0" w:color="auto"/>
            </w:tcBorders>
            <w:vAlign w:val="bottom"/>
            <w:hideMark/>
          </w:tcPr>
          <w:p w14:paraId="7DA97E2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68548130"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06D365AA"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Basic profit per share</w:t>
            </w:r>
          </w:p>
        </w:tc>
        <w:tc>
          <w:tcPr>
            <w:tcW w:w="631" w:type="dxa"/>
            <w:tcBorders>
              <w:top w:val="nil"/>
              <w:left w:val="nil"/>
              <w:bottom w:val="dotted" w:sz="8" w:space="0" w:color="auto"/>
              <w:right w:val="dotted" w:sz="8" w:space="0" w:color="auto"/>
            </w:tcBorders>
            <w:vAlign w:val="bottom"/>
            <w:hideMark/>
          </w:tcPr>
          <w:p w14:paraId="76EFE61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w:t>
            </w:r>
          </w:p>
        </w:tc>
        <w:tc>
          <w:tcPr>
            <w:tcW w:w="1082" w:type="dxa"/>
            <w:tcBorders>
              <w:top w:val="nil"/>
              <w:left w:val="nil"/>
              <w:bottom w:val="dotted" w:sz="8" w:space="0" w:color="auto"/>
              <w:right w:val="dotted" w:sz="8" w:space="0" w:color="auto"/>
            </w:tcBorders>
            <w:vAlign w:val="bottom"/>
            <w:hideMark/>
          </w:tcPr>
          <w:p w14:paraId="6C5B47E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(0.13)</w:t>
            </w:r>
          </w:p>
        </w:tc>
        <w:tc>
          <w:tcPr>
            <w:tcW w:w="1187" w:type="dxa"/>
            <w:tcBorders>
              <w:top w:val="nil"/>
              <w:left w:val="nil"/>
              <w:bottom w:val="dotted" w:sz="8" w:space="0" w:color="auto"/>
              <w:right w:val="dotted" w:sz="8" w:space="0" w:color="auto"/>
            </w:tcBorders>
            <w:vAlign w:val="bottom"/>
            <w:hideMark/>
          </w:tcPr>
          <w:p w14:paraId="04E1C49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0.03</w:t>
            </w:r>
          </w:p>
        </w:tc>
        <w:tc>
          <w:tcPr>
            <w:tcW w:w="991" w:type="dxa"/>
            <w:tcBorders>
              <w:top w:val="nil"/>
              <w:left w:val="nil"/>
              <w:bottom w:val="dotted" w:sz="8" w:space="0" w:color="auto"/>
              <w:right w:val="dotted" w:sz="8" w:space="0" w:color="auto"/>
            </w:tcBorders>
            <w:vAlign w:val="bottom"/>
            <w:hideMark/>
          </w:tcPr>
          <w:p w14:paraId="643F380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(0.16)</w:t>
            </w:r>
          </w:p>
        </w:tc>
      </w:tr>
      <w:tr w:rsidR="002C5B2A" w:rsidRPr="002F44AF" w14:paraId="125DC393" w14:textId="77777777" w:rsidTr="002C5B2A">
        <w:trPr>
          <w:trHeight w:val="60"/>
        </w:trPr>
        <w:tc>
          <w:tcPr>
            <w:tcW w:w="5369" w:type="dxa"/>
            <w:tcBorders>
              <w:top w:val="nil"/>
              <w:left w:val="dotted" w:sz="8" w:space="0" w:color="auto"/>
              <w:bottom w:val="dotted" w:sz="8" w:space="0" w:color="auto"/>
              <w:right w:val="dotted" w:sz="8" w:space="0" w:color="auto"/>
            </w:tcBorders>
            <w:vAlign w:val="bottom"/>
            <w:hideMark/>
          </w:tcPr>
          <w:p w14:paraId="0CECEDD3"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Diluted profit per share</w:t>
            </w:r>
          </w:p>
        </w:tc>
        <w:tc>
          <w:tcPr>
            <w:tcW w:w="631" w:type="dxa"/>
            <w:tcBorders>
              <w:top w:val="nil"/>
              <w:left w:val="nil"/>
              <w:bottom w:val="dotted" w:sz="8" w:space="0" w:color="auto"/>
              <w:right w:val="dotted" w:sz="8" w:space="0" w:color="auto"/>
            </w:tcBorders>
            <w:vAlign w:val="bottom"/>
            <w:hideMark/>
          </w:tcPr>
          <w:p w14:paraId="786C73E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2" w:type="dxa"/>
            <w:tcBorders>
              <w:top w:val="nil"/>
              <w:left w:val="nil"/>
              <w:bottom w:val="dotted" w:sz="8" w:space="0" w:color="auto"/>
              <w:right w:val="dotted" w:sz="8" w:space="0" w:color="auto"/>
            </w:tcBorders>
            <w:vAlign w:val="bottom"/>
            <w:hideMark/>
          </w:tcPr>
          <w:p w14:paraId="73A6F38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(0.13)</w:t>
            </w:r>
          </w:p>
        </w:tc>
        <w:tc>
          <w:tcPr>
            <w:tcW w:w="1187" w:type="dxa"/>
            <w:tcBorders>
              <w:top w:val="nil"/>
              <w:left w:val="nil"/>
              <w:bottom w:val="dotted" w:sz="8" w:space="0" w:color="auto"/>
              <w:right w:val="dotted" w:sz="8" w:space="0" w:color="auto"/>
            </w:tcBorders>
            <w:vAlign w:val="bottom"/>
            <w:hideMark/>
          </w:tcPr>
          <w:p w14:paraId="66D96C1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0.03</w:t>
            </w:r>
          </w:p>
        </w:tc>
        <w:tc>
          <w:tcPr>
            <w:tcW w:w="991" w:type="dxa"/>
            <w:tcBorders>
              <w:top w:val="nil"/>
              <w:left w:val="nil"/>
              <w:bottom w:val="dotted" w:sz="8" w:space="0" w:color="auto"/>
              <w:right w:val="dotted" w:sz="8" w:space="0" w:color="auto"/>
            </w:tcBorders>
            <w:vAlign w:val="bottom"/>
            <w:hideMark/>
          </w:tcPr>
          <w:p w14:paraId="3E13A2E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(0.16)</w:t>
            </w:r>
          </w:p>
        </w:tc>
      </w:tr>
    </w:tbl>
    <w:p w14:paraId="3224ACB4"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02481D" w14:textId="6165E469" w:rsidR="000016EB" w:rsidRDefault="002C5B2A" w:rsidP="002C5B2A">
      <w:pPr>
        <w:spacing w:after="0" w:line="253"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1CF86830" w14:textId="48EFE63F"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6954865" w14:textId="77777777" w:rsidR="002C5B2A" w:rsidRPr="000016EB" w:rsidRDefault="002C5B2A" w:rsidP="002C5B2A">
      <w:pPr>
        <w:spacing w:after="0" w:line="253" w:lineRule="atLeast"/>
        <w:rPr>
          <w:rFonts w:ascii="Calibri" w:eastAsia="Times New Roman" w:hAnsi="Calibri" w:cs="Calibri"/>
          <w:b/>
          <w:bCs/>
          <w:color w:val="000000"/>
          <w:lang w:eastAsia="en-GB"/>
        </w:rPr>
      </w:pPr>
      <w:r w:rsidRPr="000016EB">
        <w:rPr>
          <w:rFonts w:ascii="Arial" w:eastAsia="Times New Roman" w:hAnsi="Arial" w:cs="Arial"/>
          <w:b/>
          <w:bCs/>
          <w:color w:val="000000"/>
          <w:sz w:val="20"/>
          <w:szCs w:val="20"/>
          <w:lang w:eastAsia="en-GB"/>
        </w:rPr>
        <w:lastRenderedPageBreak/>
        <w:t>Consolidated statement of changes in equity</w:t>
      </w:r>
    </w:p>
    <w:p w14:paraId="48070596"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For the six months ended 31 March 2019</w:t>
      </w:r>
    </w:p>
    <w:p w14:paraId="506E1C7D"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447" w:type="dxa"/>
        <w:tblInd w:w="8" w:type="dxa"/>
        <w:tblCellMar>
          <w:left w:w="0" w:type="dxa"/>
          <w:right w:w="0" w:type="dxa"/>
        </w:tblCellMar>
        <w:tblLook w:val="04A0" w:firstRow="1" w:lastRow="0" w:firstColumn="1" w:lastColumn="0" w:noHBand="0" w:noVBand="1"/>
      </w:tblPr>
      <w:tblGrid>
        <w:gridCol w:w="5369"/>
        <w:gridCol w:w="817"/>
        <w:gridCol w:w="1131"/>
        <w:gridCol w:w="1131"/>
        <w:gridCol w:w="999"/>
      </w:tblGrid>
      <w:tr w:rsidR="002C5B2A" w:rsidRPr="002F44AF" w14:paraId="5AB81BE4" w14:textId="77777777" w:rsidTr="000016EB">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2B47CED0"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817" w:type="dxa"/>
            <w:tcBorders>
              <w:top w:val="dotted" w:sz="8" w:space="0" w:color="auto"/>
              <w:left w:val="nil"/>
              <w:bottom w:val="dotted" w:sz="8" w:space="0" w:color="auto"/>
              <w:right w:val="dotted" w:sz="8" w:space="0" w:color="auto"/>
            </w:tcBorders>
            <w:vAlign w:val="bottom"/>
            <w:hideMark/>
          </w:tcPr>
          <w:p w14:paraId="7CD5CE83" w14:textId="77777777" w:rsidR="002C5B2A" w:rsidRPr="002F44AF" w:rsidRDefault="002C5B2A" w:rsidP="000016EB">
            <w:pPr>
              <w:spacing w:after="0" w:line="161" w:lineRule="atLeast"/>
              <w:ind w:left="-1033"/>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Note</w:t>
            </w:r>
          </w:p>
        </w:tc>
        <w:tc>
          <w:tcPr>
            <w:tcW w:w="1131" w:type="dxa"/>
            <w:tcBorders>
              <w:top w:val="dotted" w:sz="8" w:space="0" w:color="auto"/>
              <w:left w:val="nil"/>
              <w:bottom w:val="dotted" w:sz="8" w:space="0" w:color="auto"/>
              <w:right w:val="dotted" w:sz="8" w:space="0" w:color="auto"/>
            </w:tcBorders>
            <w:hideMark/>
          </w:tcPr>
          <w:p w14:paraId="31606656"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5A42B6B3"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4C67D97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2019</w:t>
            </w:r>
          </w:p>
          <w:p w14:paraId="470EFF1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255D63D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0ACCB97B"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6AF44CE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3936C34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2018</w:t>
            </w:r>
          </w:p>
          <w:p w14:paraId="04EE962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5001EB7E" w14:textId="77777777" w:rsidR="002C5B2A" w:rsidRPr="002F44AF" w:rsidRDefault="002C5B2A" w:rsidP="00A00BE9">
            <w:pPr>
              <w:spacing w:after="0" w:line="161" w:lineRule="atLeast"/>
              <w:jc w:val="center"/>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        £'000</w:t>
            </w:r>
          </w:p>
        </w:tc>
        <w:tc>
          <w:tcPr>
            <w:tcW w:w="999" w:type="dxa"/>
            <w:tcBorders>
              <w:top w:val="dotted" w:sz="8" w:space="0" w:color="auto"/>
              <w:left w:val="nil"/>
              <w:bottom w:val="dotted" w:sz="8" w:space="0" w:color="auto"/>
              <w:right w:val="dotted" w:sz="8" w:space="0" w:color="auto"/>
            </w:tcBorders>
            <w:vAlign w:val="bottom"/>
            <w:hideMark/>
          </w:tcPr>
          <w:p w14:paraId="74B41E8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3D0343F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4153DD9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2018</w:t>
            </w:r>
          </w:p>
          <w:p w14:paraId="496972F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6D6BC6D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2DB5A07E" w14:textId="77777777" w:rsidTr="000016EB">
        <w:trPr>
          <w:trHeight w:val="60"/>
        </w:trPr>
        <w:tc>
          <w:tcPr>
            <w:tcW w:w="5369" w:type="dxa"/>
            <w:tcBorders>
              <w:top w:val="nil"/>
              <w:left w:val="dotted" w:sz="8" w:space="0" w:color="auto"/>
              <w:bottom w:val="dotted" w:sz="8" w:space="0" w:color="auto"/>
              <w:right w:val="dotted" w:sz="8" w:space="0" w:color="auto"/>
            </w:tcBorders>
            <w:vAlign w:val="bottom"/>
            <w:hideMark/>
          </w:tcPr>
          <w:p w14:paraId="6412E858"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Opening equity shareholders' funds</w:t>
            </w:r>
          </w:p>
        </w:tc>
        <w:tc>
          <w:tcPr>
            <w:tcW w:w="817" w:type="dxa"/>
            <w:tcBorders>
              <w:top w:val="nil"/>
              <w:left w:val="nil"/>
              <w:bottom w:val="dotted" w:sz="8" w:space="0" w:color="auto"/>
              <w:right w:val="dotted" w:sz="8" w:space="0" w:color="auto"/>
            </w:tcBorders>
            <w:vAlign w:val="bottom"/>
            <w:hideMark/>
          </w:tcPr>
          <w:p w14:paraId="4468751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766126F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1,630</w:t>
            </w:r>
          </w:p>
        </w:tc>
        <w:tc>
          <w:tcPr>
            <w:tcW w:w="1131" w:type="dxa"/>
            <w:tcBorders>
              <w:top w:val="nil"/>
              <w:left w:val="nil"/>
              <w:bottom w:val="dotted" w:sz="8" w:space="0" w:color="auto"/>
              <w:right w:val="dotted" w:sz="8" w:space="0" w:color="auto"/>
            </w:tcBorders>
            <w:vAlign w:val="bottom"/>
            <w:hideMark/>
          </w:tcPr>
          <w:p w14:paraId="08206DE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1,821</w:t>
            </w:r>
          </w:p>
        </w:tc>
        <w:tc>
          <w:tcPr>
            <w:tcW w:w="999" w:type="dxa"/>
            <w:tcBorders>
              <w:top w:val="nil"/>
              <w:left w:val="nil"/>
              <w:bottom w:val="dotted" w:sz="8" w:space="0" w:color="auto"/>
              <w:right w:val="dotted" w:sz="8" w:space="0" w:color="auto"/>
            </w:tcBorders>
            <w:vAlign w:val="bottom"/>
            <w:hideMark/>
          </w:tcPr>
          <w:p w14:paraId="5F251C2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1,821</w:t>
            </w:r>
          </w:p>
        </w:tc>
      </w:tr>
      <w:tr w:rsidR="002C5B2A" w:rsidRPr="002F44AF" w14:paraId="1C7517A2" w14:textId="77777777" w:rsidTr="000016EB">
        <w:trPr>
          <w:trHeight w:val="60"/>
        </w:trPr>
        <w:tc>
          <w:tcPr>
            <w:tcW w:w="5369" w:type="dxa"/>
            <w:tcBorders>
              <w:top w:val="nil"/>
              <w:left w:val="dotted" w:sz="8" w:space="0" w:color="auto"/>
              <w:bottom w:val="dotted" w:sz="8" w:space="0" w:color="auto"/>
              <w:right w:val="dotted" w:sz="8" w:space="0" w:color="auto"/>
            </w:tcBorders>
            <w:vAlign w:val="bottom"/>
            <w:hideMark/>
          </w:tcPr>
          <w:p w14:paraId="2BDACE9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Shares issued in the year</w:t>
            </w:r>
          </w:p>
        </w:tc>
        <w:tc>
          <w:tcPr>
            <w:tcW w:w="817" w:type="dxa"/>
            <w:tcBorders>
              <w:top w:val="nil"/>
              <w:left w:val="nil"/>
              <w:bottom w:val="dotted" w:sz="8" w:space="0" w:color="auto"/>
              <w:right w:val="dotted" w:sz="8" w:space="0" w:color="auto"/>
            </w:tcBorders>
            <w:vAlign w:val="bottom"/>
            <w:hideMark/>
          </w:tcPr>
          <w:p w14:paraId="0433BE3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5014EB2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4D8EAA6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w:t>
            </w:r>
          </w:p>
        </w:tc>
        <w:tc>
          <w:tcPr>
            <w:tcW w:w="999" w:type="dxa"/>
            <w:tcBorders>
              <w:top w:val="nil"/>
              <w:left w:val="nil"/>
              <w:bottom w:val="dotted" w:sz="8" w:space="0" w:color="auto"/>
              <w:right w:val="dotted" w:sz="8" w:space="0" w:color="auto"/>
            </w:tcBorders>
            <w:vAlign w:val="bottom"/>
            <w:hideMark/>
          </w:tcPr>
          <w:p w14:paraId="752B62A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17</w:t>
            </w:r>
          </w:p>
        </w:tc>
      </w:tr>
      <w:tr w:rsidR="002C5B2A" w:rsidRPr="002F44AF" w14:paraId="7789EC98" w14:textId="77777777" w:rsidTr="000016EB">
        <w:trPr>
          <w:trHeight w:val="60"/>
        </w:trPr>
        <w:tc>
          <w:tcPr>
            <w:tcW w:w="5369" w:type="dxa"/>
            <w:tcBorders>
              <w:top w:val="nil"/>
              <w:left w:val="dotted" w:sz="8" w:space="0" w:color="auto"/>
              <w:bottom w:val="dotted" w:sz="8" w:space="0" w:color="auto"/>
              <w:right w:val="dotted" w:sz="8" w:space="0" w:color="auto"/>
            </w:tcBorders>
            <w:vAlign w:val="bottom"/>
            <w:hideMark/>
          </w:tcPr>
          <w:p w14:paraId="53186FB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Share-based payments</w:t>
            </w:r>
          </w:p>
        </w:tc>
        <w:tc>
          <w:tcPr>
            <w:tcW w:w="817" w:type="dxa"/>
            <w:tcBorders>
              <w:top w:val="nil"/>
              <w:left w:val="nil"/>
              <w:bottom w:val="dotted" w:sz="8" w:space="0" w:color="auto"/>
              <w:right w:val="dotted" w:sz="8" w:space="0" w:color="auto"/>
            </w:tcBorders>
            <w:vAlign w:val="bottom"/>
            <w:hideMark/>
          </w:tcPr>
          <w:p w14:paraId="6B821BA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[4]</w:t>
            </w:r>
          </w:p>
        </w:tc>
        <w:tc>
          <w:tcPr>
            <w:tcW w:w="1131" w:type="dxa"/>
            <w:tcBorders>
              <w:top w:val="nil"/>
              <w:left w:val="nil"/>
              <w:bottom w:val="dotted" w:sz="8" w:space="0" w:color="auto"/>
              <w:right w:val="dotted" w:sz="8" w:space="0" w:color="auto"/>
            </w:tcBorders>
            <w:hideMark/>
          </w:tcPr>
          <w:p w14:paraId="796C295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w:t>
            </w:r>
          </w:p>
        </w:tc>
        <w:tc>
          <w:tcPr>
            <w:tcW w:w="1131" w:type="dxa"/>
            <w:tcBorders>
              <w:top w:val="nil"/>
              <w:left w:val="nil"/>
              <w:bottom w:val="dotted" w:sz="8" w:space="0" w:color="auto"/>
              <w:right w:val="dotted" w:sz="8" w:space="0" w:color="auto"/>
            </w:tcBorders>
            <w:vAlign w:val="bottom"/>
            <w:hideMark/>
          </w:tcPr>
          <w:p w14:paraId="457ACDB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w:t>
            </w:r>
          </w:p>
        </w:tc>
        <w:tc>
          <w:tcPr>
            <w:tcW w:w="999" w:type="dxa"/>
            <w:tcBorders>
              <w:top w:val="nil"/>
              <w:left w:val="nil"/>
              <w:bottom w:val="dotted" w:sz="8" w:space="0" w:color="auto"/>
              <w:right w:val="dotted" w:sz="8" w:space="0" w:color="auto"/>
            </w:tcBorders>
            <w:vAlign w:val="bottom"/>
            <w:hideMark/>
          </w:tcPr>
          <w:p w14:paraId="1331C61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w:t>
            </w:r>
          </w:p>
        </w:tc>
      </w:tr>
      <w:tr w:rsidR="002C5B2A" w:rsidRPr="002F44AF" w14:paraId="51564C69" w14:textId="77777777" w:rsidTr="000016EB">
        <w:trPr>
          <w:trHeight w:val="60"/>
        </w:trPr>
        <w:tc>
          <w:tcPr>
            <w:tcW w:w="5369" w:type="dxa"/>
            <w:tcBorders>
              <w:top w:val="nil"/>
              <w:left w:val="dotted" w:sz="8" w:space="0" w:color="auto"/>
              <w:bottom w:val="dotted" w:sz="8" w:space="0" w:color="auto"/>
              <w:right w:val="dotted" w:sz="8" w:space="0" w:color="auto"/>
            </w:tcBorders>
            <w:vAlign w:val="bottom"/>
            <w:hideMark/>
          </w:tcPr>
          <w:p w14:paraId="01468DEA"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(Loss)/Profit attributable to equity shareholders</w:t>
            </w:r>
          </w:p>
        </w:tc>
        <w:tc>
          <w:tcPr>
            <w:tcW w:w="817" w:type="dxa"/>
            <w:tcBorders>
              <w:top w:val="nil"/>
              <w:left w:val="nil"/>
              <w:bottom w:val="dotted" w:sz="8" w:space="0" w:color="auto"/>
              <w:right w:val="dotted" w:sz="8" w:space="0" w:color="auto"/>
            </w:tcBorders>
            <w:vAlign w:val="bottom"/>
            <w:hideMark/>
          </w:tcPr>
          <w:p w14:paraId="0ABF05E1" w14:textId="77777777" w:rsidR="002C5B2A" w:rsidRPr="002F44AF" w:rsidRDefault="002C5B2A" w:rsidP="00A00BE9">
            <w:pPr>
              <w:spacing w:after="0" w:line="207" w:lineRule="atLeast"/>
              <w:jc w:val="center"/>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5D51413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(178)</w:t>
            </w:r>
          </w:p>
        </w:tc>
        <w:tc>
          <w:tcPr>
            <w:tcW w:w="1131" w:type="dxa"/>
            <w:tcBorders>
              <w:top w:val="nil"/>
              <w:left w:val="nil"/>
              <w:bottom w:val="dotted" w:sz="8" w:space="0" w:color="auto"/>
              <w:right w:val="dotted" w:sz="8" w:space="0" w:color="auto"/>
            </w:tcBorders>
            <w:vAlign w:val="bottom"/>
            <w:hideMark/>
          </w:tcPr>
          <w:p w14:paraId="11407E7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39</w:t>
            </w:r>
          </w:p>
        </w:tc>
        <w:tc>
          <w:tcPr>
            <w:tcW w:w="999" w:type="dxa"/>
            <w:tcBorders>
              <w:top w:val="nil"/>
              <w:left w:val="nil"/>
              <w:bottom w:val="dotted" w:sz="8" w:space="0" w:color="auto"/>
              <w:right w:val="dotted" w:sz="8" w:space="0" w:color="auto"/>
            </w:tcBorders>
            <w:vAlign w:val="bottom"/>
            <w:hideMark/>
          </w:tcPr>
          <w:p w14:paraId="724161E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(220)</w:t>
            </w:r>
          </w:p>
        </w:tc>
      </w:tr>
      <w:tr w:rsidR="002C5B2A" w:rsidRPr="002F44AF" w14:paraId="1A30B4E3" w14:textId="77777777" w:rsidTr="000016EB">
        <w:trPr>
          <w:trHeight w:val="60"/>
        </w:trPr>
        <w:tc>
          <w:tcPr>
            <w:tcW w:w="5369" w:type="dxa"/>
            <w:tcBorders>
              <w:top w:val="nil"/>
              <w:left w:val="dotted" w:sz="8" w:space="0" w:color="auto"/>
              <w:bottom w:val="dotted" w:sz="8" w:space="0" w:color="auto"/>
              <w:right w:val="dotted" w:sz="8" w:space="0" w:color="auto"/>
            </w:tcBorders>
            <w:vAlign w:val="bottom"/>
            <w:hideMark/>
          </w:tcPr>
          <w:p w14:paraId="76BE4277"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Closing equity shareholders' funds</w:t>
            </w:r>
          </w:p>
        </w:tc>
        <w:tc>
          <w:tcPr>
            <w:tcW w:w="817" w:type="dxa"/>
            <w:tcBorders>
              <w:top w:val="nil"/>
              <w:left w:val="nil"/>
              <w:bottom w:val="dotted" w:sz="8" w:space="0" w:color="auto"/>
              <w:right w:val="dotted" w:sz="8" w:space="0" w:color="auto"/>
            </w:tcBorders>
            <w:vAlign w:val="bottom"/>
            <w:hideMark/>
          </w:tcPr>
          <w:p w14:paraId="7C08C5C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7797D7D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1,455</w:t>
            </w:r>
          </w:p>
        </w:tc>
        <w:tc>
          <w:tcPr>
            <w:tcW w:w="1131" w:type="dxa"/>
            <w:tcBorders>
              <w:top w:val="nil"/>
              <w:left w:val="nil"/>
              <w:bottom w:val="dotted" w:sz="8" w:space="0" w:color="auto"/>
              <w:right w:val="dotted" w:sz="8" w:space="0" w:color="auto"/>
            </w:tcBorders>
            <w:vAlign w:val="bottom"/>
            <w:hideMark/>
          </w:tcPr>
          <w:p w14:paraId="173FC1F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1,872</w:t>
            </w:r>
          </w:p>
        </w:tc>
        <w:tc>
          <w:tcPr>
            <w:tcW w:w="999" w:type="dxa"/>
            <w:tcBorders>
              <w:top w:val="nil"/>
              <w:left w:val="nil"/>
              <w:bottom w:val="dotted" w:sz="8" w:space="0" w:color="auto"/>
              <w:right w:val="dotted" w:sz="8" w:space="0" w:color="auto"/>
            </w:tcBorders>
            <w:vAlign w:val="bottom"/>
            <w:hideMark/>
          </w:tcPr>
          <w:p w14:paraId="04004A58"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1,630</w:t>
            </w:r>
          </w:p>
        </w:tc>
      </w:tr>
    </w:tbl>
    <w:p w14:paraId="599834AA" w14:textId="77777777" w:rsidR="002C5B2A" w:rsidRPr="002F44AF" w:rsidRDefault="002C5B2A" w:rsidP="002C5B2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F29538C" w14:textId="2A2C14A7" w:rsidR="000016EB" w:rsidRDefault="002C5B2A" w:rsidP="002C5B2A">
      <w:pPr>
        <w:spacing w:after="0" w:line="240"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78212301" w14:textId="77777777"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F76EA04"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lastRenderedPageBreak/>
        <w:t>Consolidated statement of financial position</w:t>
      </w:r>
    </w:p>
    <w:p w14:paraId="7FFC7237"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As at 31 March 2019</w:t>
      </w:r>
    </w:p>
    <w:p w14:paraId="12B6B53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717" w:type="dxa"/>
        <w:tblInd w:w="8" w:type="dxa"/>
        <w:tblCellMar>
          <w:left w:w="0" w:type="dxa"/>
          <w:right w:w="0" w:type="dxa"/>
        </w:tblCellMar>
        <w:tblLook w:val="04A0" w:firstRow="1" w:lastRow="0" w:firstColumn="1" w:lastColumn="0" w:noHBand="0" w:noVBand="1"/>
      </w:tblPr>
      <w:tblGrid>
        <w:gridCol w:w="5369"/>
        <w:gridCol w:w="1131"/>
        <w:gridCol w:w="1131"/>
        <w:gridCol w:w="1086"/>
      </w:tblGrid>
      <w:tr w:rsidR="002C5B2A" w:rsidRPr="002F44AF" w14:paraId="27241B6A" w14:textId="77777777" w:rsidTr="008D624E">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06530E5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hideMark/>
          </w:tcPr>
          <w:p w14:paraId="3B59259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As at</w:t>
            </w:r>
          </w:p>
          <w:p w14:paraId="660529B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2019</w:t>
            </w:r>
          </w:p>
          <w:p w14:paraId="6F1D387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4F0C7D9B"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2D3B82B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As at</w:t>
            </w:r>
          </w:p>
          <w:p w14:paraId="5F11A2E8"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2018</w:t>
            </w:r>
          </w:p>
          <w:p w14:paraId="42A3799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147D8C5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086" w:type="dxa"/>
            <w:tcBorders>
              <w:top w:val="dotted" w:sz="8" w:space="0" w:color="auto"/>
              <w:left w:val="nil"/>
              <w:bottom w:val="dotted" w:sz="8" w:space="0" w:color="auto"/>
              <w:right w:val="dotted" w:sz="8" w:space="0" w:color="auto"/>
            </w:tcBorders>
            <w:vAlign w:val="bottom"/>
            <w:hideMark/>
          </w:tcPr>
          <w:p w14:paraId="2F7E060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As at</w:t>
            </w:r>
          </w:p>
          <w:p w14:paraId="10BA104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4D0EAC63"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2018</w:t>
            </w:r>
          </w:p>
          <w:p w14:paraId="46F827D5"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391CF65D"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1C918A6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F3C6BE1"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Non-current assets</w:t>
            </w:r>
          </w:p>
        </w:tc>
        <w:tc>
          <w:tcPr>
            <w:tcW w:w="1131" w:type="dxa"/>
            <w:tcBorders>
              <w:top w:val="nil"/>
              <w:left w:val="nil"/>
              <w:bottom w:val="dotted" w:sz="8" w:space="0" w:color="auto"/>
              <w:right w:val="dotted" w:sz="8" w:space="0" w:color="auto"/>
            </w:tcBorders>
            <w:hideMark/>
          </w:tcPr>
          <w:p w14:paraId="3C035D5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681FF0A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2C60E72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2D62BF76"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16768DB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Plant and equipment</w:t>
            </w:r>
          </w:p>
        </w:tc>
        <w:tc>
          <w:tcPr>
            <w:tcW w:w="1131" w:type="dxa"/>
            <w:tcBorders>
              <w:top w:val="nil"/>
              <w:left w:val="nil"/>
              <w:bottom w:val="dotted" w:sz="8" w:space="0" w:color="auto"/>
              <w:right w:val="dotted" w:sz="8" w:space="0" w:color="auto"/>
            </w:tcBorders>
            <w:hideMark/>
          </w:tcPr>
          <w:p w14:paraId="5D26B31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86</w:t>
            </w:r>
          </w:p>
        </w:tc>
        <w:tc>
          <w:tcPr>
            <w:tcW w:w="1131" w:type="dxa"/>
            <w:tcBorders>
              <w:top w:val="nil"/>
              <w:left w:val="nil"/>
              <w:bottom w:val="dotted" w:sz="8" w:space="0" w:color="auto"/>
              <w:right w:val="dotted" w:sz="8" w:space="0" w:color="auto"/>
            </w:tcBorders>
            <w:vAlign w:val="bottom"/>
            <w:hideMark/>
          </w:tcPr>
          <w:p w14:paraId="30B05F0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20</w:t>
            </w:r>
          </w:p>
        </w:tc>
        <w:tc>
          <w:tcPr>
            <w:tcW w:w="1086" w:type="dxa"/>
            <w:tcBorders>
              <w:top w:val="nil"/>
              <w:left w:val="nil"/>
              <w:bottom w:val="dotted" w:sz="8" w:space="0" w:color="auto"/>
              <w:right w:val="dotted" w:sz="8" w:space="0" w:color="auto"/>
            </w:tcBorders>
            <w:vAlign w:val="bottom"/>
            <w:hideMark/>
          </w:tcPr>
          <w:p w14:paraId="79397C4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71</w:t>
            </w:r>
          </w:p>
        </w:tc>
      </w:tr>
      <w:tr w:rsidR="002C5B2A" w:rsidRPr="002F44AF" w14:paraId="28DBB8DA"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057E6E9"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074258B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86</w:t>
            </w:r>
          </w:p>
        </w:tc>
        <w:tc>
          <w:tcPr>
            <w:tcW w:w="1131" w:type="dxa"/>
            <w:tcBorders>
              <w:top w:val="nil"/>
              <w:left w:val="nil"/>
              <w:bottom w:val="dotted" w:sz="8" w:space="0" w:color="auto"/>
              <w:right w:val="dotted" w:sz="8" w:space="0" w:color="auto"/>
            </w:tcBorders>
            <w:vAlign w:val="bottom"/>
            <w:hideMark/>
          </w:tcPr>
          <w:p w14:paraId="1751C5F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20</w:t>
            </w:r>
          </w:p>
        </w:tc>
        <w:tc>
          <w:tcPr>
            <w:tcW w:w="1086" w:type="dxa"/>
            <w:tcBorders>
              <w:top w:val="nil"/>
              <w:left w:val="nil"/>
              <w:bottom w:val="dotted" w:sz="8" w:space="0" w:color="auto"/>
              <w:right w:val="dotted" w:sz="8" w:space="0" w:color="auto"/>
            </w:tcBorders>
            <w:vAlign w:val="bottom"/>
            <w:hideMark/>
          </w:tcPr>
          <w:p w14:paraId="37253129"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71</w:t>
            </w:r>
          </w:p>
        </w:tc>
      </w:tr>
      <w:tr w:rsidR="002C5B2A" w:rsidRPr="002F44AF" w14:paraId="0B93C5A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104F5D90"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Current assets</w:t>
            </w:r>
          </w:p>
        </w:tc>
        <w:tc>
          <w:tcPr>
            <w:tcW w:w="1131" w:type="dxa"/>
            <w:tcBorders>
              <w:top w:val="nil"/>
              <w:left w:val="nil"/>
              <w:bottom w:val="dotted" w:sz="8" w:space="0" w:color="auto"/>
              <w:right w:val="dotted" w:sz="8" w:space="0" w:color="auto"/>
            </w:tcBorders>
            <w:hideMark/>
          </w:tcPr>
          <w:p w14:paraId="4FC5130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5678232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59EA463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0641B167"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3F1186AF"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Inventories</w:t>
            </w:r>
          </w:p>
        </w:tc>
        <w:tc>
          <w:tcPr>
            <w:tcW w:w="1131" w:type="dxa"/>
            <w:tcBorders>
              <w:top w:val="nil"/>
              <w:left w:val="nil"/>
              <w:bottom w:val="dotted" w:sz="8" w:space="0" w:color="auto"/>
              <w:right w:val="dotted" w:sz="8" w:space="0" w:color="auto"/>
            </w:tcBorders>
            <w:hideMark/>
          </w:tcPr>
          <w:p w14:paraId="1E68AF3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804</w:t>
            </w:r>
          </w:p>
        </w:tc>
        <w:tc>
          <w:tcPr>
            <w:tcW w:w="1131" w:type="dxa"/>
            <w:tcBorders>
              <w:top w:val="nil"/>
              <w:left w:val="nil"/>
              <w:bottom w:val="dotted" w:sz="8" w:space="0" w:color="auto"/>
              <w:right w:val="dotted" w:sz="8" w:space="0" w:color="auto"/>
            </w:tcBorders>
            <w:vAlign w:val="bottom"/>
            <w:hideMark/>
          </w:tcPr>
          <w:p w14:paraId="3116509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676</w:t>
            </w:r>
          </w:p>
        </w:tc>
        <w:tc>
          <w:tcPr>
            <w:tcW w:w="1086" w:type="dxa"/>
            <w:tcBorders>
              <w:top w:val="nil"/>
              <w:left w:val="nil"/>
              <w:bottom w:val="dotted" w:sz="8" w:space="0" w:color="auto"/>
              <w:right w:val="dotted" w:sz="8" w:space="0" w:color="auto"/>
            </w:tcBorders>
            <w:vAlign w:val="bottom"/>
            <w:hideMark/>
          </w:tcPr>
          <w:p w14:paraId="401F27A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939</w:t>
            </w:r>
          </w:p>
        </w:tc>
      </w:tr>
      <w:tr w:rsidR="002C5B2A" w:rsidRPr="002F44AF" w14:paraId="64C9B737"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13F6D93"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Trade and other receivables</w:t>
            </w:r>
          </w:p>
        </w:tc>
        <w:tc>
          <w:tcPr>
            <w:tcW w:w="1131" w:type="dxa"/>
            <w:tcBorders>
              <w:top w:val="nil"/>
              <w:left w:val="nil"/>
              <w:bottom w:val="dotted" w:sz="8" w:space="0" w:color="auto"/>
              <w:right w:val="dotted" w:sz="8" w:space="0" w:color="auto"/>
            </w:tcBorders>
            <w:hideMark/>
          </w:tcPr>
          <w:p w14:paraId="195B59E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499</w:t>
            </w:r>
          </w:p>
        </w:tc>
        <w:tc>
          <w:tcPr>
            <w:tcW w:w="1131" w:type="dxa"/>
            <w:tcBorders>
              <w:top w:val="nil"/>
              <w:left w:val="nil"/>
              <w:bottom w:val="dotted" w:sz="8" w:space="0" w:color="auto"/>
              <w:right w:val="dotted" w:sz="8" w:space="0" w:color="auto"/>
            </w:tcBorders>
            <w:vAlign w:val="bottom"/>
            <w:hideMark/>
          </w:tcPr>
          <w:p w14:paraId="6093A61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1,327</w:t>
            </w:r>
          </w:p>
        </w:tc>
        <w:tc>
          <w:tcPr>
            <w:tcW w:w="1086" w:type="dxa"/>
            <w:tcBorders>
              <w:top w:val="nil"/>
              <w:left w:val="nil"/>
              <w:bottom w:val="dotted" w:sz="8" w:space="0" w:color="auto"/>
              <w:right w:val="dotted" w:sz="8" w:space="0" w:color="auto"/>
            </w:tcBorders>
            <w:vAlign w:val="bottom"/>
            <w:hideMark/>
          </w:tcPr>
          <w:p w14:paraId="1B569CC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783</w:t>
            </w:r>
          </w:p>
        </w:tc>
      </w:tr>
      <w:tr w:rsidR="002C5B2A" w:rsidRPr="002F44AF" w14:paraId="74812CC0"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9869DE9"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Cash and cash equivalents</w:t>
            </w:r>
          </w:p>
        </w:tc>
        <w:tc>
          <w:tcPr>
            <w:tcW w:w="1131" w:type="dxa"/>
            <w:tcBorders>
              <w:top w:val="nil"/>
              <w:left w:val="nil"/>
              <w:bottom w:val="dotted" w:sz="8" w:space="0" w:color="auto"/>
              <w:right w:val="dotted" w:sz="8" w:space="0" w:color="auto"/>
            </w:tcBorders>
            <w:hideMark/>
          </w:tcPr>
          <w:p w14:paraId="2C64C0D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750</w:t>
            </w:r>
          </w:p>
        </w:tc>
        <w:tc>
          <w:tcPr>
            <w:tcW w:w="1131" w:type="dxa"/>
            <w:tcBorders>
              <w:top w:val="nil"/>
              <w:left w:val="nil"/>
              <w:bottom w:val="dotted" w:sz="8" w:space="0" w:color="auto"/>
              <w:right w:val="dotted" w:sz="8" w:space="0" w:color="auto"/>
            </w:tcBorders>
            <w:vAlign w:val="bottom"/>
            <w:hideMark/>
          </w:tcPr>
          <w:p w14:paraId="3046159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752</w:t>
            </w:r>
          </w:p>
        </w:tc>
        <w:tc>
          <w:tcPr>
            <w:tcW w:w="1086" w:type="dxa"/>
            <w:tcBorders>
              <w:top w:val="nil"/>
              <w:left w:val="nil"/>
              <w:bottom w:val="dotted" w:sz="8" w:space="0" w:color="auto"/>
              <w:right w:val="dotted" w:sz="8" w:space="0" w:color="auto"/>
            </w:tcBorders>
            <w:vAlign w:val="bottom"/>
            <w:hideMark/>
          </w:tcPr>
          <w:p w14:paraId="0BB687B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782</w:t>
            </w:r>
          </w:p>
        </w:tc>
      </w:tr>
      <w:tr w:rsidR="002C5B2A" w:rsidRPr="002F44AF" w14:paraId="4C318BFB"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1A9EC793"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585B15C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2,053</w:t>
            </w:r>
          </w:p>
        </w:tc>
        <w:tc>
          <w:tcPr>
            <w:tcW w:w="1131" w:type="dxa"/>
            <w:tcBorders>
              <w:top w:val="nil"/>
              <w:left w:val="nil"/>
              <w:bottom w:val="dotted" w:sz="8" w:space="0" w:color="auto"/>
              <w:right w:val="dotted" w:sz="8" w:space="0" w:color="auto"/>
            </w:tcBorders>
            <w:vAlign w:val="bottom"/>
            <w:hideMark/>
          </w:tcPr>
          <w:p w14:paraId="395EBEF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2,755</w:t>
            </w:r>
          </w:p>
        </w:tc>
        <w:tc>
          <w:tcPr>
            <w:tcW w:w="1086" w:type="dxa"/>
            <w:tcBorders>
              <w:top w:val="nil"/>
              <w:left w:val="nil"/>
              <w:bottom w:val="dotted" w:sz="8" w:space="0" w:color="auto"/>
              <w:right w:val="dotted" w:sz="8" w:space="0" w:color="auto"/>
            </w:tcBorders>
            <w:vAlign w:val="bottom"/>
            <w:hideMark/>
          </w:tcPr>
          <w:p w14:paraId="02D1F85C"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2,504</w:t>
            </w:r>
          </w:p>
        </w:tc>
      </w:tr>
      <w:tr w:rsidR="002C5B2A" w:rsidRPr="002F44AF" w14:paraId="37EACA51"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3D3FC9F"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Total assets</w:t>
            </w:r>
          </w:p>
        </w:tc>
        <w:tc>
          <w:tcPr>
            <w:tcW w:w="1131" w:type="dxa"/>
            <w:tcBorders>
              <w:top w:val="nil"/>
              <w:left w:val="nil"/>
              <w:bottom w:val="dotted" w:sz="8" w:space="0" w:color="auto"/>
              <w:right w:val="dotted" w:sz="8" w:space="0" w:color="auto"/>
            </w:tcBorders>
            <w:hideMark/>
          </w:tcPr>
          <w:p w14:paraId="168F217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2,139</w:t>
            </w:r>
          </w:p>
        </w:tc>
        <w:tc>
          <w:tcPr>
            <w:tcW w:w="1131" w:type="dxa"/>
            <w:tcBorders>
              <w:top w:val="nil"/>
              <w:left w:val="nil"/>
              <w:bottom w:val="dotted" w:sz="8" w:space="0" w:color="auto"/>
              <w:right w:val="dotted" w:sz="8" w:space="0" w:color="auto"/>
            </w:tcBorders>
            <w:vAlign w:val="bottom"/>
            <w:hideMark/>
          </w:tcPr>
          <w:p w14:paraId="0C04044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2,775</w:t>
            </w:r>
          </w:p>
        </w:tc>
        <w:tc>
          <w:tcPr>
            <w:tcW w:w="1086" w:type="dxa"/>
            <w:tcBorders>
              <w:top w:val="nil"/>
              <w:left w:val="nil"/>
              <w:bottom w:val="dotted" w:sz="8" w:space="0" w:color="auto"/>
              <w:right w:val="dotted" w:sz="8" w:space="0" w:color="auto"/>
            </w:tcBorders>
            <w:vAlign w:val="bottom"/>
            <w:hideMark/>
          </w:tcPr>
          <w:p w14:paraId="112447FF"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2,575</w:t>
            </w:r>
          </w:p>
        </w:tc>
      </w:tr>
      <w:tr w:rsidR="002C5B2A" w:rsidRPr="002F44AF" w14:paraId="7E68E35F"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560669C"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Current liabilities</w:t>
            </w:r>
          </w:p>
        </w:tc>
        <w:tc>
          <w:tcPr>
            <w:tcW w:w="1131" w:type="dxa"/>
            <w:tcBorders>
              <w:top w:val="nil"/>
              <w:left w:val="nil"/>
              <w:bottom w:val="dotted" w:sz="8" w:space="0" w:color="auto"/>
              <w:right w:val="dotted" w:sz="8" w:space="0" w:color="auto"/>
            </w:tcBorders>
            <w:hideMark/>
          </w:tcPr>
          <w:p w14:paraId="1E4D38B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1385168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73BEEBC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39BAA71E"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18E7B3DE"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Trade and other payables</w:t>
            </w:r>
          </w:p>
        </w:tc>
        <w:tc>
          <w:tcPr>
            <w:tcW w:w="1131" w:type="dxa"/>
            <w:tcBorders>
              <w:top w:val="nil"/>
              <w:left w:val="nil"/>
              <w:bottom w:val="dotted" w:sz="8" w:space="0" w:color="auto"/>
              <w:right w:val="dotted" w:sz="8" w:space="0" w:color="auto"/>
            </w:tcBorders>
            <w:hideMark/>
          </w:tcPr>
          <w:p w14:paraId="0BEC04F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646</w:t>
            </w:r>
          </w:p>
        </w:tc>
        <w:tc>
          <w:tcPr>
            <w:tcW w:w="1131" w:type="dxa"/>
            <w:tcBorders>
              <w:top w:val="nil"/>
              <w:left w:val="nil"/>
              <w:bottom w:val="dotted" w:sz="8" w:space="0" w:color="auto"/>
              <w:right w:val="dotted" w:sz="8" w:space="0" w:color="auto"/>
            </w:tcBorders>
            <w:vAlign w:val="bottom"/>
            <w:hideMark/>
          </w:tcPr>
          <w:p w14:paraId="7887763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855</w:t>
            </w:r>
          </w:p>
        </w:tc>
        <w:tc>
          <w:tcPr>
            <w:tcW w:w="1086" w:type="dxa"/>
            <w:tcBorders>
              <w:top w:val="nil"/>
              <w:left w:val="nil"/>
              <w:bottom w:val="dotted" w:sz="8" w:space="0" w:color="auto"/>
              <w:right w:val="dotted" w:sz="8" w:space="0" w:color="auto"/>
            </w:tcBorders>
            <w:vAlign w:val="bottom"/>
            <w:hideMark/>
          </w:tcPr>
          <w:p w14:paraId="7FCEC07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910</w:t>
            </w:r>
          </w:p>
        </w:tc>
      </w:tr>
      <w:tr w:rsidR="002C5B2A" w:rsidRPr="002F44AF" w14:paraId="5A2E560E"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8A9F68D"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Non-current liabilities</w:t>
            </w:r>
          </w:p>
        </w:tc>
        <w:tc>
          <w:tcPr>
            <w:tcW w:w="1131" w:type="dxa"/>
            <w:tcBorders>
              <w:top w:val="nil"/>
              <w:left w:val="nil"/>
              <w:bottom w:val="dotted" w:sz="8" w:space="0" w:color="auto"/>
              <w:right w:val="dotted" w:sz="8" w:space="0" w:color="auto"/>
            </w:tcBorders>
            <w:hideMark/>
          </w:tcPr>
          <w:p w14:paraId="3B64521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12AE388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40BAD29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001CCC4B"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3EA8377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Provisions for liabilities and charges</w:t>
            </w:r>
          </w:p>
        </w:tc>
        <w:tc>
          <w:tcPr>
            <w:tcW w:w="1131" w:type="dxa"/>
            <w:tcBorders>
              <w:top w:val="nil"/>
              <w:left w:val="nil"/>
              <w:bottom w:val="dotted" w:sz="8" w:space="0" w:color="auto"/>
              <w:right w:val="dotted" w:sz="8" w:space="0" w:color="auto"/>
            </w:tcBorders>
            <w:hideMark/>
          </w:tcPr>
          <w:p w14:paraId="5663DA8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38</w:t>
            </w:r>
          </w:p>
        </w:tc>
        <w:tc>
          <w:tcPr>
            <w:tcW w:w="1131" w:type="dxa"/>
            <w:tcBorders>
              <w:top w:val="nil"/>
              <w:left w:val="nil"/>
              <w:bottom w:val="dotted" w:sz="8" w:space="0" w:color="auto"/>
              <w:right w:val="dotted" w:sz="8" w:space="0" w:color="auto"/>
            </w:tcBorders>
            <w:vAlign w:val="bottom"/>
            <w:hideMark/>
          </w:tcPr>
          <w:p w14:paraId="4FC2EC7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48</w:t>
            </w:r>
          </w:p>
        </w:tc>
        <w:tc>
          <w:tcPr>
            <w:tcW w:w="1086" w:type="dxa"/>
            <w:tcBorders>
              <w:top w:val="nil"/>
              <w:left w:val="nil"/>
              <w:bottom w:val="dotted" w:sz="8" w:space="0" w:color="auto"/>
              <w:right w:val="dotted" w:sz="8" w:space="0" w:color="auto"/>
            </w:tcBorders>
            <w:vAlign w:val="bottom"/>
            <w:hideMark/>
          </w:tcPr>
          <w:p w14:paraId="03F599E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35</w:t>
            </w:r>
          </w:p>
        </w:tc>
      </w:tr>
      <w:tr w:rsidR="002C5B2A" w:rsidRPr="002F44AF" w14:paraId="18BBD8C5"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6BD60946"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Total liabilities</w:t>
            </w:r>
          </w:p>
        </w:tc>
        <w:tc>
          <w:tcPr>
            <w:tcW w:w="1131" w:type="dxa"/>
            <w:tcBorders>
              <w:top w:val="nil"/>
              <w:left w:val="nil"/>
              <w:bottom w:val="dotted" w:sz="8" w:space="0" w:color="auto"/>
              <w:right w:val="dotted" w:sz="8" w:space="0" w:color="auto"/>
            </w:tcBorders>
            <w:hideMark/>
          </w:tcPr>
          <w:p w14:paraId="0D2EACD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684</w:t>
            </w:r>
          </w:p>
        </w:tc>
        <w:tc>
          <w:tcPr>
            <w:tcW w:w="1131" w:type="dxa"/>
            <w:tcBorders>
              <w:top w:val="nil"/>
              <w:left w:val="nil"/>
              <w:bottom w:val="dotted" w:sz="8" w:space="0" w:color="auto"/>
              <w:right w:val="dotted" w:sz="8" w:space="0" w:color="auto"/>
            </w:tcBorders>
            <w:vAlign w:val="bottom"/>
            <w:hideMark/>
          </w:tcPr>
          <w:p w14:paraId="52A9268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903</w:t>
            </w:r>
          </w:p>
        </w:tc>
        <w:tc>
          <w:tcPr>
            <w:tcW w:w="1086" w:type="dxa"/>
            <w:tcBorders>
              <w:top w:val="nil"/>
              <w:left w:val="nil"/>
              <w:bottom w:val="dotted" w:sz="8" w:space="0" w:color="auto"/>
              <w:right w:val="dotted" w:sz="8" w:space="0" w:color="auto"/>
            </w:tcBorders>
            <w:vAlign w:val="bottom"/>
            <w:hideMark/>
          </w:tcPr>
          <w:p w14:paraId="3E38810E"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945</w:t>
            </w:r>
          </w:p>
        </w:tc>
      </w:tr>
      <w:tr w:rsidR="002C5B2A" w:rsidRPr="002F44AF" w14:paraId="7D6CCBC3"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977B98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assets</w:t>
            </w:r>
          </w:p>
        </w:tc>
        <w:tc>
          <w:tcPr>
            <w:tcW w:w="1131" w:type="dxa"/>
            <w:tcBorders>
              <w:top w:val="nil"/>
              <w:left w:val="nil"/>
              <w:bottom w:val="dotted" w:sz="8" w:space="0" w:color="auto"/>
              <w:right w:val="dotted" w:sz="8" w:space="0" w:color="auto"/>
            </w:tcBorders>
            <w:hideMark/>
          </w:tcPr>
          <w:p w14:paraId="0114960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1,455</w:t>
            </w:r>
          </w:p>
        </w:tc>
        <w:tc>
          <w:tcPr>
            <w:tcW w:w="1131" w:type="dxa"/>
            <w:tcBorders>
              <w:top w:val="nil"/>
              <w:left w:val="nil"/>
              <w:bottom w:val="dotted" w:sz="8" w:space="0" w:color="auto"/>
              <w:right w:val="dotted" w:sz="8" w:space="0" w:color="auto"/>
            </w:tcBorders>
            <w:vAlign w:val="bottom"/>
            <w:hideMark/>
          </w:tcPr>
          <w:p w14:paraId="0DCD6B3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1,872</w:t>
            </w:r>
          </w:p>
        </w:tc>
        <w:tc>
          <w:tcPr>
            <w:tcW w:w="1086" w:type="dxa"/>
            <w:tcBorders>
              <w:top w:val="nil"/>
              <w:left w:val="nil"/>
              <w:bottom w:val="dotted" w:sz="8" w:space="0" w:color="auto"/>
              <w:right w:val="dotted" w:sz="8" w:space="0" w:color="auto"/>
            </w:tcBorders>
            <w:vAlign w:val="bottom"/>
            <w:hideMark/>
          </w:tcPr>
          <w:p w14:paraId="1C978F9A"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1,630</w:t>
            </w:r>
          </w:p>
        </w:tc>
      </w:tr>
      <w:tr w:rsidR="002C5B2A" w:rsidRPr="002F44AF" w14:paraId="2F738F6F"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51D204F7"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Equity</w:t>
            </w:r>
          </w:p>
        </w:tc>
        <w:tc>
          <w:tcPr>
            <w:tcW w:w="1131" w:type="dxa"/>
            <w:tcBorders>
              <w:top w:val="nil"/>
              <w:left w:val="nil"/>
              <w:bottom w:val="dotted" w:sz="8" w:space="0" w:color="auto"/>
              <w:right w:val="dotted" w:sz="8" w:space="0" w:color="auto"/>
            </w:tcBorders>
            <w:hideMark/>
          </w:tcPr>
          <w:p w14:paraId="0115696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2D79369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1E2FEBB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06E20831"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F526861"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 capital</w:t>
            </w:r>
          </w:p>
        </w:tc>
        <w:tc>
          <w:tcPr>
            <w:tcW w:w="1131" w:type="dxa"/>
            <w:tcBorders>
              <w:top w:val="nil"/>
              <w:left w:val="nil"/>
              <w:bottom w:val="dotted" w:sz="8" w:space="0" w:color="auto"/>
              <w:right w:val="dotted" w:sz="8" w:space="0" w:color="auto"/>
            </w:tcBorders>
            <w:hideMark/>
          </w:tcPr>
          <w:p w14:paraId="177B4BA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1,363</w:t>
            </w:r>
          </w:p>
        </w:tc>
        <w:tc>
          <w:tcPr>
            <w:tcW w:w="1131" w:type="dxa"/>
            <w:tcBorders>
              <w:top w:val="nil"/>
              <w:left w:val="nil"/>
              <w:bottom w:val="dotted" w:sz="8" w:space="0" w:color="auto"/>
              <w:right w:val="dotted" w:sz="8" w:space="0" w:color="auto"/>
            </w:tcBorders>
            <w:vAlign w:val="bottom"/>
            <w:hideMark/>
          </w:tcPr>
          <w:p w14:paraId="701167C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1,360</w:t>
            </w:r>
          </w:p>
        </w:tc>
        <w:tc>
          <w:tcPr>
            <w:tcW w:w="1086" w:type="dxa"/>
            <w:tcBorders>
              <w:top w:val="nil"/>
              <w:left w:val="nil"/>
              <w:bottom w:val="dotted" w:sz="8" w:space="0" w:color="auto"/>
              <w:right w:val="dotted" w:sz="8" w:space="0" w:color="auto"/>
            </w:tcBorders>
            <w:vAlign w:val="bottom"/>
            <w:hideMark/>
          </w:tcPr>
          <w:p w14:paraId="66C74D0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1,363</w:t>
            </w:r>
          </w:p>
        </w:tc>
      </w:tr>
      <w:tr w:rsidR="002C5B2A" w:rsidRPr="002F44AF" w14:paraId="54CE1F8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860F7B3"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 premium account</w:t>
            </w:r>
          </w:p>
        </w:tc>
        <w:tc>
          <w:tcPr>
            <w:tcW w:w="1131" w:type="dxa"/>
            <w:tcBorders>
              <w:top w:val="nil"/>
              <w:left w:val="nil"/>
              <w:bottom w:val="dotted" w:sz="8" w:space="0" w:color="auto"/>
              <w:right w:val="dotted" w:sz="8" w:space="0" w:color="auto"/>
            </w:tcBorders>
            <w:hideMark/>
          </w:tcPr>
          <w:p w14:paraId="2B0B54D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8.328</w:t>
            </w:r>
          </w:p>
        </w:tc>
        <w:tc>
          <w:tcPr>
            <w:tcW w:w="1131" w:type="dxa"/>
            <w:tcBorders>
              <w:top w:val="nil"/>
              <w:left w:val="nil"/>
              <w:bottom w:val="dotted" w:sz="8" w:space="0" w:color="auto"/>
              <w:right w:val="dotted" w:sz="8" w:space="0" w:color="auto"/>
            </w:tcBorders>
            <w:vAlign w:val="bottom"/>
            <w:hideMark/>
          </w:tcPr>
          <w:p w14:paraId="6CC2622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8,320</w:t>
            </w:r>
          </w:p>
        </w:tc>
        <w:tc>
          <w:tcPr>
            <w:tcW w:w="1086" w:type="dxa"/>
            <w:tcBorders>
              <w:top w:val="nil"/>
              <w:left w:val="nil"/>
              <w:bottom w:val="dotted" w:sz="8" w:space="0" w:color="auto"/>
              <w:right w:val="dotted" w:sz="8" w:space="0" w:color="auto"/>
            </w:tcBorders>
            <w:vAlign w:val="bottom"/>
            <w:hideMark/>
          </w:tcPr>
          <w:p w14:paraId="783CEFF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8,328</w:t>
            </w:r>
          </w:p>
        </w:tc>
      </w:tr>
      <w:tr w:rsidR="002C5B2A" w:rsidRPr="002F44AF" w14:paraId="4455F8F7" w14:textId="77777777" w:rsidTr="008D624E">
        <w:trPr>
          <w:trHeight w:val="41"/>
        </w:trPr>
        <w:tc>
          <w:tcPr>
            <w:tcW w:w="5369" w:type="dxa"/>
            <w:tcBorders>
              <w:top w:val="nil"/>
              <w:left w:val="dotted" w:sz="8" w:space="0" w:color="auto"/>
              <w:bottom w:val="dotted" w:sz="8" w:space="0" w:color="auto"/>
              <w:right w:val="dotted" w:sz="8" w:space="0" w:color="auto"/>
            </w:tcBorders>
            <w:vAlign w:val="bottom"/>
            <w:hideMark/>
          </w:tcPr>
          <w:p w14:paraId="029B9D2A"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Retained earnings</w:t>
            </w:r>
          </w:p>
        </w:tc>
        <w:tc>
          <w:tcPr>
            <w:tcW w:w="1131" w:type="dxa"/>
            <w:tcBorders>
              <w:top w:val="nil"/>
              <w:left w:val="nil"/>
              <w:bottom w:val="dotted" w:sz="8" w:space="0" w:color="auto"/>
              <w:right w:val="dotted" w:sz="8" w:space="0" w:color="auto"/>
            </w:tcBorders>
            <w:hideMark/>
          </w:tcPr>
          <w:p w14:paraId="26E90D0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(8,236)</w:t>
            </w:r>
          </w:p>
        </w:tc>
        <w:tc>
          <w:tcPr>
            <w:tcW w:w="1131" w:type="dxa"/>
            <w:tcBorders>
              <w:top w:val="nil"/>
              <w:left w:val="nil"/>
              <w:bottom w:val="dotted" w:sz="8" w:space="0" w:color="auto"/>
              <w:right w:val="dotted" w:sz="8" w:space="0" w:color="auto"/>
            </w:tcBorders>
            <w:vAlign w:val="bottom"/>
            <w:hideMark/>
          </w:tcPr>
          <w:p w14:paraId="55A69FC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(7,808)</w:t>
            </w:r>
          </w:p>
        </w:tc>
        <w:tc>
          <w:tcPr>
            <w:tcW w:w="1086" w:type="dxa"/>
            <w:tcBorders>
              <w:top w:val="nil"/>
              <w:left w:val="nil"/>
              <w:bottom w:val="dotted" w:sz="8" w:space="0" w:color="auto"/>
              <w:right w:val="dotted" w:sz="8" w:space="0" w:color="auto"/>
            </w:tcBorders>
            <w:vAlign w:val="bottom"/>
            <w:hideMark/>
          </w:tcPr>
          <w:p w14:paraId="744CE0B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(8,061)</w:t>
            </w:r>
          </w:p>
        </w:tc>
      </w:tr>
      <w:tr w:rsidR="002C5B2A" w:rsidRPr="002F44AF" w14:paraId="62631B76"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313CFAF7"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Equity shareholders' funds</w:t>
            </w:r>
          </w:p>
        </w:tc>
        <w:tc>
          <w:tcPr>
            <w:tcW w:w="1131" w:type="dxa"/>
            <w:tcBorders>
              <w:top w:val="nil"/>
              <w:left w:val="nil"/>
              <w:bottom w:val="dotted" w:sz="8" w:space="0" w:color="auto"/>
              <w:right w:val="dotted" w:sz="8" w:space="0" w:color="auto"/>
            </w:tcBorders>
            <w:hideMark/>
          </w:tcPr>
          <w:p w14:paraId="0B74AA6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1,455</w:t>
            </w:r>
          </w:p>
        </w:tc>
        <w:tc>
          <w:tcPr>
            <w:tcW w:w="1131" w:type="dxa"/>
            <w:tcBorders>
              <w:top w:val="nil"/>
              <w:left w:val="nil"/>
              <w:bottom w:val="dotted" w:sz="8" w:space="0" w:color="auto"/>
              <w:right w:val="dotted" w:sz="8" w:space="0" w:color="auto"/>
            </w:tcBorders>
            <w:vAlign w:val="bottom"/>
            <w:hideMark/>
          </w:tcPr>
          <w:p w14:paraId="15B9EEA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1,872</w:t>
            </w:r>
          </w:p>
        </w:tc>
        <w:tc>
          <w:tcPr>
            <w:tcW w:w="1086" w:type="dxa"/>
            <w:tcBorders>
              <w:top w:val="nil"/>
              <w:left w:val="nil"/>
              <w:bottom w:val="dotted" w:sz="8" w:space="0" w:color="auto"/>
              <w:right w:val="dotted" w:sz="8" w:space="0" w:color="auto"/>
            </w:tcBorders>
            <w:vAlign w:val="bottom"/>
            <w:hideMark/>
          </w:tcPr>
          <w:p w14:paraId="1904A60E"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1,630</w:t>
            </w:r>
          </w:p>
        </w:tc>
      </w:tr>
    </w:tbl>
    <w:p w14:paraId="0F21567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CFDAEA1" w14:textId="4EEB7EFD" w:rsidR="008D624E" w:rsidRDefault="002C5B2A" w:rsidP="002C5B2A">
      <w:pPr>
        <w:spacing w:after="0"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B738F85" w14:textId="77777777" w:rsidR="008D624E" w:rsidRDefault="008D624E">
      <w:pPr>
        <w:spacing w:after="160" w:line="259"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14:paraId="7B2102D8" w14:textId="777777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lastRenderedPageBreak/>
        <w:t>Consolidated cash flow statement</w:t>
      </w:r>
    </w:p>
    <w:p w14:paraId="3C7706B0" w14:textId="777777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t>For the six months ended 31 March 2019</w:t>
      </w:r>
    </w:p>
    <w:p w14:paraId="3D486F45"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630" w:type="dxa"/>
        <w:tblInd w:w="8" w:type="dxa"/>
        <w:tblCellMar>
          <w:left w:w="0" w:type="dxa"/>
          <w:right w:w="0" w:type="dxa"/>
        </w:tblCellMar>
        <w:tblLook w:val="04A0" w:firstRow="1" w:lastRow="0" w:firstColumn="1" w:lastColumn="0" w:noHBand="0" w:noVBand="1"/>
      </w:tblPr>
      <w:tblGrid>
        <w:gridCol w:w="5369"/>
        <w:gridCol w:w="1131"/>
        <w:gridCol w:w="1131"/>
        <w:gridCol w:w="999"/>
      </w:tblGrid>
      <w:tr w:rsidR="002C5B2A" w:rsidRPr="002F44AF" w14:paraId="17500BC5" w14:textId="77777777" w:rsidTr="008D624E">
        <w:trPr>
          <w:trHeight w:val="660"/>
        </w:trPr>
        <w:tc>
          <w:tcPr>
            <w:tcW w:w="5369" w:type="dxa"/>
            <w:tcBorders>
              <w:top w:val="dotted" w:sz="8" w:space="0" w:color="auto"/>
              <w:left w:val="dotted" w:sz="8" w:space="0" w:color="auto"/>
              <w:bottom w:val="dotted" w:sz="8" w:space="0" w:color="auto"/>
              <w:right w:val="dotted" w:sz="8" w:space="0" w:color="auto"/>
            </w:tcBorders>
            <w:vAlign w:val="bottom"/>
            <w:hideMark/>
          </w:tcPr>
          <w:p w14:paraId="1EE18209"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hideMark/>
          </w:tcPr>
          <w:p w14:paraId="4C46503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07F0EC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65663A0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2019</w:t>
            </w:r>
          </w:p>
          <w:p w14:paraId="1DCE4EE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0EB4EA2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4D86A60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19CB45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33C00863"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2018</w:t>
            </w:r>
          </w:p>
          <w:p w14:paraId="690E851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6D13EBD6"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999" w:type="dxa"/>
            <w:tcBorders>
              <w:top w:val="dotted" w:sz="8" w:space="0" w:color="auto"/>
              <w:left w:val="nil"/>
              <w:bottom w:val="dotted" w:sz="8" w:space="0" w:color="auto"/>
              <w:right w:val="dotted" w:sz="8" w:space="0" w:color="auto"/>
            </w:tcBorders>
            <w:vAlign w:val="bottom"/>
            <w:hideMark/>
          </w:tcPr>
          <w:p w14:paraId="304B6AF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5852D00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7C02AD7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2018</w:t>
            </w:r>
          </w:p>
          <w:p w14:paraId="0DC6DA0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20A5E50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10EBE404"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4E05051"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operating activities</w:t>
            </w:r>
          </w:p>
        </w:tc>
        <w:tc>
          <w:tcPr>
            <w:tcW w:w="1131" w:type="dxa"/>
            <w:tcBorders>
              <w:top w:val="nil"/>
              <w:left w:val="nil"/>
              <w:bottom w:val="dotted" w:sz="8" w:space="0" w:color="auto"/>
              <w:right w:val="dotted" w:sz="8" w:space="0" w:color="auto"/>
            </w:tcBorders>
            <w:hideMark/>
          </w:tcPr>
          <w:p w14:paraId="5C7625C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3B93B13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2C032D4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3CED1DBE"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4973948"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(loss)/profit</w:t>
            </w:r>
          </w:p>
        </w:tc>
        <w:tc>
          <w:tcPr>
            <w:tcW w:w="1131" w:type="dxa"/>
            <w:tcBorders>
              <w:top w:val="nil"/>
              <w:left w:val="nil"/>
              <w:bottom w:val="dotted" w:sz="8" w:space="0" w:color="auto"/>
              <w:right w:val="dotted" w:sz="8" w:space="0" w:color="auto"/>
            </w:tcBorders>
            <w:hideMark/>
          </w:tcPr>
          <w:p w14:paraId="787D521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(178)</w:t>
            </w:r>
          </w:p>
        </w:tc>
        <w:tc>
          <w:tcPr>
            <w:tcW w:w="1131" w:type="dxa"/>
            <w:tcBorders>
              <w:top w:val="nil"/>
              <w:left w:val="nil"/>
              <w:bottom w:val="dotted" w:sz="8" w:space="0" w:color="auto"/>
              <w:right w:val="dotted" w:sz="8" w:space="0" w:color="auto"/>
            </w:tcBorders>
            <w:vAlign w:val="bottom"/>
            <w:hideMark/>
          </w:tcPr>
          <w:p w14:paraId="7AC38C3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39</w:t>
            </w:r>
          </w:p>
        </w:tc>
        <w:tc>
          <w:tcPr>
            <w:tcW w:w="999" w:type="dxa"/>
            <w:tcBorders>
              <w:top w:val="nil"/>
              <w:left w:val="nil"/>
              <w:bottom w:val="dotted" w:sz="8" w:space="0" w:color="auto"/>
              <w:right w:val="dotted" w:sz="8" w:space="0" w:color="auto"/>
            </w:tcBorders>
            <w:vAlign w:val="bottom"/>
            <w:hideMark/>
          </w:tcPr>
          <w:p w14:paraId="3AE6A24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(155)</w:t>
            </w:r>
          </w:p>
        </w:tc>
      </w:tr>
      <w:tr w:rsidR="002C5B2A" w:rsidRPr="002F44AF" w14:paraId="35117C81"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6F9ADD95"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Adjustments for:</w:t>
            </w:r>
          </w:p>
        </w:tc>
        <w:tc>
          <w:tcPr>
            <w:tcW w:w="1131" w:type="dxa"/>
            <w:tcBorders>
              <w:top w:val="nil"/>
              <w:left w:val="nil"/>
              <w:bottom w:val="dotted" w:sz="8" w:space="0" w:color="auto"/>
              <w:right w:val="dotted" w:sz="8" w:space="0" w:color="auto"/>
            </w:tcBorders>
            <w:hideMark/>
          </w:tcPr>
          <w:p w14:paraId="23339BF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0DF3D9F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5EFD437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1E9B5D56"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AE21FA6"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Depreciation</w:t>
            </w:r>
          </w:p>
        </w:tc>
        <w:tc>
          <w:tcPr>
            <w:tcW w:w="1131" w:type="dxa"/>
            <w:tcBorders>
              <w:top w:val="nil"/>
              <w:left w:val="nil"/>
              <w:bottom w:val="dotted" w:sz="8" w:space="0" w:color="auto"/>
              <w:right w:val="dotted" w:sz="8" w:space="0" w:color="auto"/>
            </w:tcBorders>
            <w:hideMark/>
          </w:tcPr>
          <w:p w14:paraId="4FE52BC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12</w:t>
            </w:r>
          </w:p>
        </w:tc>
        <w:tc>
          <w:tcPr>
            <w:tcW w:w="1131" w:type="dxa"/>
            <w:tcBorders>
              <w:top w:val="nil"/>
              <w:left w:val="nil"/>
              <w:bottom w:val="dotted" w:sz="8" w:space="0" w:color="auto"/>
              <w:right w:val="dotted" w:sz="8" w:space="0" w:color="auto"/>
            </w:tcBorders>
            <w:vAlign w:val="bottom"/>
            <w:hideMark/>
          </w:tcPr>
          <w:p w14:paraId="25CC35C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w:t>
            </w:r>
          </w:p>
        </w:tc>
        <w:tc>
          <w:tcPr>
            <w:tcW w:w="999" w:type="dxa"/>
            <w:tcBorders>
              <w:top w:val="nil"/>
              <w:left w:val="nil"/>
              <w:bottom w:val="dotted" w:sz="8" w:space="0" w:color="auto"/>
              <w:right w:val="dotted" w:sz="8" w:space="0" w:color="auto"/>
            </w:tcBorders>
            <w:vAlign w:val="bottom"/>
            <w:hideMark/>
          </w:tcPr>
          <w:p w14:paraId="2636C7C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16</w:t>
            </w:r>
          </w:p>
        </w:tc>
      </w:tr>
      <w:tr w:rsidR="002C5B2A" w:rsidRPr="002F44AF" w14:paraId="5C4833DD"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958749F"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Impairment of inventories</w:t>
            </w:r>
          </w:p>
        </w:tc>
        <w:tc>
          <w:tcPr>
            <w:tcW w:w="1131" w:type="dxa"/>
            <w:tcBorders>
              <w:top w:val="nil"/>
              <w:left w:val="nil"/>
              <w:bottom w:val="dotted" w:sz="8" w:space="0" w:color="auto"/>
              <w:right w:val="dotted" w:sz="8" w:space="0" w:color="auto"/>
            </w:tcBorders>
            <w:hideMark/>
          </w:tcPr>
          <w:p w14:paraId="617EE36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19</w:t>
            </w:r>
          </w:p>
        </w:tc>
        <w:tc>
          <w:tcPr>
            <w:tcW w:w="1131" w:type="dxa"/>
            <w:tcBorders>
              <w:top w:val="nil"/>
              <w:left w:val="nil"/>
              <w:bottom w:val="dotted" w:sz="8" w:space="0" w:color="auto"/>
              <w:right w:val="dotted" w:sz="8" w:space="0" w:color="auto"/>
            </w:tcBorders>
            <w:vAlign w:val="bottom"/>
            <w:hideMark/>
          </w:tcPr>
          <w:p w14:paraId="5BE7F3D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24</w:t>
            </w:r>
          </w:p>
        </w:tc>
        <w:tc>
          <w:tcPr>
            <w:tcW w:w="999" w:type="dxa"/>
            <w:tcBorders>
              <w:top w:val="nil"/>
              <w:left w:val="nil"/>
              <w:bottom w:val="dotted" w:sz="8" w:space="0" w:color="auto"/>
              <w:right w:val="dotted" w:sz="8" w:space="0" w:color="auto"/>
            </w:tcBorders>
            <w:vAlign w:val="bottom"/>
            <w:hideMark/>
          </w:tcPr>
          <w:p w14:paraId="6C8242C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43</w:t>
            </w:r>
          </w:p>
        </w:tc>
      </w:tr>
      <w:tr w:rsidR="002C5B2A" w:rsidRPr="002F44AF" w14:paraId="77CFD8E5"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58FA9D65"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Increase/(decrease) in provision for warranty</w:t>
            </w:r>
          </w:p>
        </w:tc>
        <w:tc>
          <w:tcPr>
            <w:tcW w:w="1131" w:type="dxa"/>
            <w:tcBorders>
              <w:top w:val="nil"/>
              <w:left w:val="nil"/>
              <w:bottom w:val="dotted" w:sz="8" w:space="0" w:color="auto"/>
              <w:right w:val="dotted" w:sz="8" w:space="0" w:color="auto"/>
            </w:tcBorders>
            <w:hideMark/>
          </w:tcPr>
          <w:p w14:paraId="21750C0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w:t>
            </w:r>
          </w:p>
        </w:tc>
        <w:tc>
          <w:tcPr>
            <w:tcW w:w="1131" w:type="dxa"/>
            <w:tcBorders>
              <w:top w:val="nil"/>
              <w:left w:val="nil"/>
              <w:bottom w:val="dotted" w:sz="8" w:space="0" w:color="auto"/>
              <w:right w:val="dotted" w:sz="8" w:space="0" w:color="auto"/>
            </w:tcBorders>
            <w:vAlign w:val="bottom"/>
            <w:hideMark/>
          </w:tcPr>
          <w:p w14:paraId="225C18D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w:t>
            </w:r>
          </w:p>
        </w:tc>
        <w:tc>
          <w:tcPr>
            <w:tcW w:w="999" w:type="dxa"/>
            <w:tcBorders>
              <w:top w:val="nil"/>
              <w:left w:val="nil"/>
              <w:bottom w:val="dotted" w:sz="8" w:space="0" w:color="auto"/>
              <w:right w:val="dotted" w:sz="8" w:space="0" w:color="auto"/>
            </w:tcBorders>
            <w:vAlign w:val="bottom"/>
            <w:hideMark/>
          </w:tcPr>
          <w:p w14:paraId="4231492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w:t>
            </w:r>
          </w:p>
        </w:tc>
      </w:tr>
      <w:tr w:rsidR="002C5B2A" w:rsidRPr="002F44AF" w14:paraId="560721A9"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BC0BBD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Decrease in inventories</w:t>
            </w:r>
          </w:p>
        </w:tc>
        <w:tc>
          <w:tcPr>
            <w:tcW w:w="1131" w:type="dxa"/>
            <w:tcBorders>
              <w:top w:val="nil"/>
              <w:left w:val="nil"/>
              <w:bottom w:val="dotted" w:sz="8" w:space="0" w:color="auto"/>
              <w:right w:val="dotted" w:sz="8" w:space="0" w:color="auto"/>
            </w:tcBorders>
            <w:hideMark/>
          </w:tcPr>
          <w:p w14:paraId="2BF2B0E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115</w:t>
            </w:r>
          </w:p>
        </w:tc>
        <w:tc>
          <w:tcPr>
            <w:tcW w:w="1131" w:type="dxa"/>
            <w:tcBorders>
              <w:top w:val="nil"/>
              <w:left w:val="nil"/>
              <w:bottom w:val="dotted" w:sz="8" w:space="0" w:color="auto"/>
              <w:right w:val="dotted" w:sz="8" w:space="0" w:color="auto"/>
            </w:tcBorders>
            <w:vAlign w:val="bottom"/>
            <w:hideMark/>
          </w:tcPr>
          <w:p w14:paraId="187A1FC9"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394</w:t>
            </w:r>
          </w:p>
        </w:tc>
        <w:tc>
          <w:tcPr>
            <w:tcW w:w="999" w:type="dxa"/>
            <w:tcBorders>
              <w:top w:val="nil"/>
              <w:left w:val="nil"/>
              <w:bottom w:val="dotted" w:sz="8" w:space="0" w:color="auto"/>
              <w:right w:val="dotted" w:sz="8" w:space="0" w:color="auto"/>
            </w:tcBorders>
            <w:vAlign w:val="bottom"/>
            <w:hideMark/>
          </w:tcPr>
          <w:p w14:paraId="2022118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113</w:t>
            </w:r>
          </w:p>
        </w:tc>
      </w:tr>
      <w:tr w:rsidR="002C5B2A" w:rsidRPr="002F44AF" w14:paraId="644D8976" w14:textId="77777777" w:rsidTr="008D624E">
        <w:tc>
          <w:tcPr>
            <w:tcW w:w="5369" w:type="dxa"/>
            <w:tcBorders>
              <w:top w:val="nil"/>
              <w:left w:val="dotted" w:sz="8" w:space="0" w:color="auto"/>
              <w:bottom w:val="dotted" w:sz="8" w:space="0" w:color="auto"/>
              <w:right w:val="dotted" w:sz="8" w:space="0" w:color="auto"/>
            </w:tcBorders>
            <w:vAlign w:val="bottom"/>
            <w:hideMark/>
          </w:tcPr>
          <w:p w14:paraId="6AA3446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Decrease in trade and other receivables</w:t>
            </w:r>
          </w:p>
        </w:tc>
        <w:tc>
          <w:tcPr>
            <w:tcW w:w="1131" w:type="dxa"/>
            <w:tcBorders>
              <w:top w:val="nil"/>
              <w:left w:val="nil"/>
              <w:bottom w:val="dotted" w:sz="8" w:space="0" w:color="auto"/>
              <w:right w:val="dotted" w:sz="8" w:space="0" w:color="auto"/>
            </w:tcBorders>
            <w:hideMark/>
          </w:tcPr>
          <w:p w14:paraId="1483445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237</w:t>
            </w:r>
          </w:p>
        </w:tc>
        <w:tc>
          <w:tcPr>
            <w:tcW w:w="1131" w:type="dxa"/>
            <w:tcBorders>
              <w:top w:val="nil"/>
              <w:left w:val="nil"/>
              <w:bottom w:val="dotted" w:sz="8" w:space="0" w:color="auto"/>
              <w:right w:val="dotted" w:sz="8" w:space="0" w:color="auto"/>
            </w:tcBorders>
            <w:vAlign w:val="bottom"/>
            <w:hideMark/>
          </w:tcPr>
          <w:p w14:paraId="0AE15DD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267</w:t>
            </w:r>
          </w:p>
        </w:tc>
        <w:tc>
          <w:tcPr>
            <w:tcW w:w="999" w:type="dxa"/>
            <w:tcBorders>
              <w:top w:val="nil"/>
              <w:left w:val="nil"/>
              <w:bottom w:val="dotted" w:sz="8" w:space="0" w:color="auto"/>
              <w:right w:val="dotted" w:sz="8" w:space="0" w:color="auto"/>
            </w:tcBorders>
            <w:vAlign w:val="bottom"/>
            <w:hideMark/>
          </w:tcPr>
          <w:p w14:paraId="02D9458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774</w:t>
            </w:r>
          </w:p>
        </w:tc>
      </w:tr>
      <w:tr w:rsidR="002C5B2A" w:rsidRPr="002F44AF" w14:paraId="519B8424" w14:textId="77777777" w:rsidTr="008D624E">
        <w:trPr>
          <w:trHeight w:val="50"/>
        </w:trPr>
        <w:tc>
          <w:tcPr>
            <w:tcW w:w="5369" w:type="dxa"/>
            <w:tcBorders>
              <w:top w:val="nil"/>
              <w:left w:val="dotted" w:sz="8" w:space="0" w:color="auto"/>
              <w:bottom w:val="dotted" w:sz="8" w:space="0" w:color="auto"/>
              <w:right w:val="dotted" w:sz="8" w:space="0" w:color="auto"/>
            </w:tcBorders>
            <w:vAlign w:val="bottom"/>
            <w:hideMark/>
          </w:tcPr>
          <w:p w14:paraId="0D9F54E8"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(Decrease) in trade and other payables</w:t>
            </w:r>
          </w:p>
        </w:tc>
        <w:tc>
          <w:tcPr>
            <w:tcW w:w="1131" w:type="dxa"/>
            <w:tcBorders>
              <w:top w:val="nil"/>
              <w:left w:val="nil"/>
              <w:bottom w:val="dotted" w:sz="8" w:space="0" w:color="auto"/>
              <w:right w:val="dotted" w:sz="8" w:space="0" w:color="auto"/>
            </w:tcBorders>
            <w:hideMark/>
          </w:tcPr>
          <w:p w14:paraId="3488F50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(264)</w:t>
            </w:r>
          </w:p>
        </w:tc>
        <w:tc>
          <w:tcPr>
            <w:tcW w:w="1131" w:type="dxa"/>
            <w:tcBorders>
              <w:top w:val="nil"/>
              <w:left w:val="nil"/>
              <w:bottom w:val="dotted" w:sz="8" w:space="0" w:color="auto"/>
              <w:right w:val="dotted" w:sz="8" w:space="0" w:color="auto"/>
            </w:tcBorders>
            <w:vAlign w:val="bottom"/>
            <w:hideMark/>
          </w:tcPr>
          <w:p w14:paraId="052C5EC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(1,274)</w:t>
            </w:r>
          </w:p>
        </w:tc>
        <w:tc>
          <w:tcPr>
            <w:tcW w:w="999" w:type="dxa"/>
            <w:tcBorders>
              <w:top w:val="nil"/>
              <w:left w:val="nil"/>
              <w:bottom w:val="dotted" w:sz="8" w:space="0" w:color="auto"/>
              <w:right w:val="dotted" w:sz="8" w:space="0" w:color="auto"/>
            </w:tcBorders>
            <w:vAlign w:val="bottom"/>
            <w:hideMark/>
          </w:tcPr>
          <w:p w14:paraId="123D380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(1,256)</w:t>
            </w:r>
          </w:p>
        </w:tc>
      </w:tr>
      <w:tr w:rsidR="002C5B2A" w:rsidRPr="002F44AF" w14:paraId="0065FFA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56292EDF"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Share-based payment charge</w:t>
            </w:r>
          </w:p>
        </w:tc>
        <w:tc>
          <w:tcPr>
            <w:tcW w:w="1131" w:type="dxa"/>
            <w:tcBorders>
              <w:top w:val="nil"/>
              <w:left w:val="nil"/>
              <w:bottom w:val="dotted" w:sz="8" w:space="0" w:color="auto"/>
              <w:right w:val="dotted" w:sz="8" w:space="0" w:color="auto"/>
            </w:tcBorders>
            <w:hideMark/>
          </w:tcPr>
          <w:p w14:paraId="04F7FA0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w:t>
            </w:r>
          </w:p>
        </w:tc>
        <w:tc>
          <w:tcPr>
            <w:tcW w:w="1131" w:type="dxa"/>
            <w:tcBorders>
              <w:top w:val="nil"/>
              <w:left w:val="nil"/>
              <w:bottom w:val="dotted" w:sz="8" w:space="0" w:color="auto"/>
              <w:right w:val="dotted" w:sz="8" w:space="0" w:color="auto"/>
            </w:tcBorders>
            <w:vAlign w:val="bottom"/>
            <w:hideMark/>
          </w:tcPr>
          <w:p w14:paraId="383FB04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w:t>
            </w:r>
          </w:p>
        </w:tc>
        <w:tc>
          <w:tcPr>
            <w:tcW w:w="999" w:type="dxa"/>
            <w:tcBorders>
              <w:top w:val="nil"/>
              <w:left w:val="nil"/>
              <w:bottom w:val="dotted" w:sz="8" w:space="0" w:color="auto"/>
              <w:right w:val="dotted" w:sz="8" w:space="0" w:color="auto"/>
            </w:tcBorders>
            <w:vAlign w:val="bottom"/>
            <w:hideMark/>
          </w:tcPr>
          <w:p w14:paraId="7E5AE73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w:t>
            </w:r>
          </w:p>
        </w:tc>
      </w:tr>
      <w:tr w:rsidR="002C5B2A" w:rsidRPr="002F44AF" w14:paraId="14E3DA21"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640C8FB0"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used in operating activities</w:t>
            </w:r>
          </w:p>
        </w:tc>
        <w:tc>
          <w:tcPr>
            <w:tcW w:w="1131" w:type="dxa"/>
            <w:tcBorders>
              <w:top w:val="nil"/>
              <w:left w:val="nil"/>
              <w:bottom w:val="dotted" w:sz="8" w:space="0" w:color="auto"/>
              <w:right w:val="dotted" w:sz="8" w:space="0" w:color="auto"/>
            </w:tcBorders>
            <w:hideMark/>
          </w:tcPr>
          <w:p w14:paraId="50F148B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(53)</w:t>
            </w:r>
          </w:p>
        </w:tc>
        <w:tc>
          <w:tcPr>
            <w:tcW w:w="1131" w:type="dxa"/>
            <w:tcBorders>
              <w:top w:val="nil"/>
              <w:left w:val="nil"/>
              <w:bottom w:val="dotted" w:sz="8" w:space="0" w:color="auto"/>
              <w:right w:val="dotted" w:sz="8" w:space="0" w:color="auto"/>
            </w:tcBorders>
            <w:vAlign w:val="bottom"/>
            <w:hideMark/>
          </w:tcPr>
          <w:p w14:paraId="537FDE1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(537</w:t>
            </w:r>
          </w:p>
        </w:tc>
        <w:tc>
          <w:tcPr>
            <w:tcW w:w="999" w:type="dxa"/>
            <w:tcBorders>
              <w:top w:val="nil"/>
              <w:left w:val="nil"/>
              <w:bottom w:val="dotted" w:sz="8" w:space="0" w:color="auto"/>
              <w:right w:val="dotted" w:sz="8" w:space="0" w:color="auto"/>
            </w:tcBorders>
            <w:vAlign w:val="bottom"/>
            <w:hideMark/>
          </w:tcPr>
          <w:p w14:paraId="6B78D081"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(465)</w:t>
            </w:r>
          </w:p>
        </w:tc>
      </w:tr>
      <w:tr w:rsidR="002C5B2A" w:rsidRPr="002F44AF" w14:paraId="4F6C30EC"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0433E1CF"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Corporation tax recovered</w:t>
            </w:r>
          </w:p>
        </w:tc>
        <w:tc>
          <w:tcPr>
            <w:tcW w:w="1131" w:type="dxa"/>
            <w:tcBorders>
              <w:top w:val="nil"/>
              <w:left w:val="nil"/>
              <w:bottom w:val="dotted" w:sz="8" w:space="0" w:color="auto"/>
              <w:right w:val="dotted" w:sz="8" w:space="0" w:color="auto"/>
            </w:tcBorders>
            <w:hideMark/>
          </w:tcPr>
          <w:p w14:paraId="556A700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47</w:t>
            </w:r>
          </w:p>
        </w:tc>
        <w:tc>
          <w:tcPr>
            <w:tcW w:w="1131" w:type="dxa"/>
            <w:tcBorders>
              <w:top w:val="nil"/>
              <w:left w:val="nil"/>
              <w:bottom w:val="dotted" w:sz="8" w:space="0" w:color="auto"/>
              <w:right w:val="dotted" w:sz="8" w:space="0" w:color="auto"/>
            </w:tcBorders>
            <w:vAlign w:val="bottom"/>
            <w:hideMark/>
          </w:tcPr>
          <w:p w14:paraId="6F59A93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(30)</w:t>
            </w:r>
          </w:p>
        </w:tc>
        <w:tc>
          <w:tcPr>
            <w:tcW w:w="999" w:type="dxa"/>
            <w:tcBorders>
              <w:top w:val="nil"/>
              <w:left w:val="nil"/>
              <w:bottom w:val="dotted" w:sz="8" w:space="0" w:color="auto"/>
              <w:right w:val="dotted" w:sz="8" w:space="0" w:color="auto"/>
            </w:tcBorders>
            <w:vAlign w:val="bottom"/>
            <w:hideMark/>
          </w:tcPr>
          <w:p w14:paraId="5DBDA4E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w:t>
            </w:r>
          </w:p>
        </w:tc>
      </w:tr>
      <w:tr w:rsidR="002C5B2A" w:rsidRPr="002F44AF" w14:paraId="4302F147" w14:textId="77777777" w:rsidTr="008D624E">
        <w:trPr>
          <w:trHeight w:val="116"/>
        </w:trPr>
        <w:tc>
          <w:tcPr>
            <w:tcW w:w="5369" w:type="dxa"/>
            <w:tcBorders>
              <w:top w:val="nil"/>
              <w:left w:val="dotted" w:sz="8" w:space="0" w:color="auto"/>
              <w:bottom w:val="dotted" w:sz="8" w:space="0" w:color="auto"/>
              <w:right w:val="dotted" w:sz="8" w:space="0" w:color="auto"/>
            </w:tcBorders>
            <w:vAlign w:val="bottom"/>
            <w:hideMark/>
          </w:tcPr>
          <w:p w14:paraId="049DA30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outflow from operating activities</w:t>
            </w:r>
          </w:p>
        </w:tc>
        <w:tc>
          <w:tcPr>
            <w:tcW w:w="1131" w:type="dxa"/>
            <w:tcBorders>
              <w:top w:val="nil"/>
              <w:left w:val="nil"/>
              <w:bottom w:val="dotted" w:sz="8" w:space="0" w:color="auto"/>
              <w:right w:val="dotted" w:sz="8" w:space="0" w:color="auto"/>
            </w:tcBorders>
            <w:hideMark/>
          </w:tcPr>
          <w:p w14:paraId="2E832BF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(6)</w:t>
            </w:r>
          </w:p>
        </w:tc>
        <w:tc>
          <w:tcPr>
            <w:tcW w:w="1131" w:type="dxa"/>
            <w:tcBorders>
              <w:top w:val="nil"/>
              <w:left w:val="nil"/>
              <w:bottom w:val="dotted" w:sz="8" w:space="0" w:color="auto"/>
              <w:right w:val="dotted" w:sz="8" w:space="0" w:color="auto"/>
            </w:tcBorders>
            <w:vAlign w:val="bottom"/>
            <w:hideMark/>
          </w:tcPr>
          <w:p w14:paraId="793A6AF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(507)</w:t>
            </w:r>
          </w:p>
        </w:tc>
        <w:tc>
          <w:tcPr>
            <w:tcW w:w="999" w:type="dxa"/>
            <w:tcBorders>
              <w:top w:val="nil"/>
              <w:left w:val="nil"/>
              <w:bottom w:val="dotted" w:sz="8" w:space="0" w:color="auto"/>
              <w:right w:val="dotted" w:sz="8" w:space="0" w:color="auto"/>
            </w:tcBorders>
            <w:vAlign w:val="bottom"/>
            <w:hideMark/>
          </w:tcPr>
          <w:p w14:paraId="51263D1A"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(465)</w:t>
            </w:r>
          </w:p>
        </w:tc>
      </w:tr>
      <w:tr w:rsidR="002C5B2A" w:rsidRPr="002F44AF" w14:paraId="642FF95C"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62EEFAAC"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05137613"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56A5655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222E459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15BB9485"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1F7E19E9"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investing activities</w:t>
            </w:r>
          </w:p>
        </w:tc>
        <w:tc>
          <w:tcPr>
            <w:tcW w:w="1131" w:type="dxa"/>
            <w:tcBorders>
              <w:top w:val="nil"/>
              <w:left w:val="nil"/>
              <w:bottom w:val="dotted" w:sz="8" w:space="0" w:color="auto"/>
              <w:right w:val="dotted" w:sz="8" w:space="0" w:color="auto"/>
            </w:tcBorders>
            <w:hideMark/>
          </w:tcPr>
          <w:p w14:paraId="43B4D12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0AC92A1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625FF15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2A1C87DA"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583D5EF9"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Purchase of property, plant and equipment</w:t>
            </w:r>
          </w:p>
        </w:tc>
        <w:tc>
          <w:tcPr>
            <w:tcW w:w="1131" w:type="dxa"/>
            <w:tcBorders>
              <w:top w:val="nil"/>
              <w:left w:val="nil"/>
              <w:bottom w:val="dotted" w:sz="8" w:space="0" w:color="auto"/>
              <w:right w:val="dotted" w:sz="8" w:space="0" w:color="auto"/>
            </w:tcBorders>
            <w:hideMark/>
          </w:tcPr>
          <w:p w14:paraId="45715A3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(26)</w:t>
            </w:r>
          </w:p>
        </w:tc>
        <w:tc>
          <w:tcPr>
            <w:tcW w:w="1131" w:type="dxa"/>
            <w:tcBorders>
              <w:top w:val="nil"/>
              <w:left w:val="nil"/>
              <w:bottom w:val="dotted" w:sz="8" w:space="0" w:color="auto"/>
              <w:right w:val="dotted" w:sz="8" w:space="0" w:color="auto"/>
            </w:tcBorders>
            <w:vAlign w:val="bottom"/>
            <w:hideMark/>
          </w:tcPr>
          <w:p w14:paraId="289DB43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999" w:type="dxa"/>
            <w:tcBorders>
              <w:top w:val="nil"/>
              <w:left w:val="nil"/>
              <w:bottom w:val="dotted" w:sz="8" w:space="0" w:color="auto"/>
              <w:right w:val="dotted" w:sz="8" w:space="0" w:color="auto"/>
            </w:tcBorders>
            <w:vAlign w:val="bottom"/>
            <w:hideMark/>
          </w:tcPr>
          <w:p w14:paraId="45174E1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(23)</w:t>
            </w:r>
          </w:p>
        </w:tc>
      </w:tr>
      <w:tr w:rsidR="002C5B2A" w:rsidRPr="002F44AF" w14:paraId="6460E188"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3947D7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used in investing activities</w:t>
            </w:r>
          </w:p>
        </w:tc>
        <w:tc>
          <w:tcPr>
            <w:tcW w:w="1131" w:type="dxa"/>
            <w:tcBorders>
              <w:top w:val="nil"/>
              <w:left w:val="nil"/>
              <w:bottom w:val="dotted" w:sz="8" w:space="0" w:color="auto"/>
              <w:right w:val="dotted" w:sz="8" w:space="0" w:color="auto"/>
            </w:tcBorders>
            <w:hideMark/>
          </w:tcPr>
          <w:p w14:paraId="129D9B0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(26)</w:t>
            </w:r>
          </w:p>
        </w:tc>
        <w:tc>
          <w:tcPr>
            <w:tcW w:w="1131" w:type="dxa"/>
            <w:tcBorders>
              <w:top w:val="nil"/>
              <w:left w:val="nil"/>
              <w:bottom w:val="dotted" w:sz="8" w:space="0" w:color="auto"/>
              <w:right w:val="dotted" w:sz="8" w:space="0" w:color="auto"/>
            </w:tcBorders>
            <w:vAlign w:val="bottom"/>
            <w:hideMark/>
          </w:tcPr>
          <w:p w14:paraId="4350B40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999" w:type="dxa"/>
            <w:tcBorders>
              <w:top w:val="nil"/>
              <w:left w:val="nil"/>
              <w:bottom w:val="dotted" w:sz="8" w:space="0" w:color="auto"/>
              <w:right w:val="dotted" w:sz="8" w:space="0" w:color="auto"/>
            </w:tcBorders>
            <w:vAlign w:val="bottom"/>
            <w:hideMark/>
          </w:tcPr>
          <w:p w14:paraId="0A18617E"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(23)</w:t>
            </w:r>
          </w:p>
        </w:tc>
      </w:tr>
      <w:tr w:rsidR="002C5B2A" w:rsidRPr="002F44AF" w14:paraId="2CA95510"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3B91889"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1EEF42D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5BE3404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3826341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2C5B2A" w:rsidRPr="002F44AF" w14:paraId="7C2D4B26"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731003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financing activities</w:t>
            </w:r>
          </w:p>
        </w:tc>
        <w:tc>
          <w:tcPr>
            <w:tcW w:w="1131" w:type="dxa"/>
            <w:tcBorders>
              <w:top w:val="nil"/>
              <w:left w:val="nil"/>
              <w:bottom w:val="dotted" w:sz="8" w:space="0" w:color="auto"/>
              <w:right w:val="dotted" w:sz="8" w:space="0" w:color="auto"/>
            </w:tcBorders>
            <w:hideMark/>
          </w:tcPr>
          <w:p w14:paraId="2DE1D057"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4B02606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35398EF0"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18"/>
                <w:szCs w:val="18"/>
                <w:lang w:eastAsia="en-GB"/>
              </w:rPr>
              <w:t> </w:t>
            </w:r>
          </w:p>
        </w:tc>
      </w:tr>
      <w:tr w:rsidR="002C5B2A" w:rsidRPr="002F44AF" w14:paraId="39154B96"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0A8F952"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Proceeds from issue of share capital</w:t>
            </w:r>
          </w:p>
        </w:tc>
        <w:tc>
          <w:tcPr>
            <w:tcW w:w="1131" w:type="dxa"/>
            <w:tcBorders>
              <w:top w:val="nil"/>
              <w:left w:val="nil"/>
              <w:bottom w:val="dotted" w:sz="8" w:space="0" w:color="auto"/>
              <w:right w:val="dotted" w:sz="8" w:space="0" w:color="auto"/>
            </w:tcBorders>
            <w:hideMark/>
          </w:tcPr>
          <w:p w14:paraId="1D71BD3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2F73EB2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6</w:t>
            </w:r>
          </w:p>
        </w:tc>
        <w:tc>
          <w:tcPr>
            <w:tcW w:w="999" w:type="dxa"/>
            <w:tcBorders>
              <w:top w:val="nil"/>
              <w:left w:val="nil"/>
              <w:bottom w:val="dotted" w:sz="8" w:space="0" w:color="auto"/>
              <w:right w:val="dotted" w:sz="8" w:space="0" w:color="auto"/>
            </w:tcBorders>
            <w:vAlign w:val="bottom"/>
            <w:hideMark/>
          </w:tcPr>
          <w:p w14:paraId="0D0FFAC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17</w:t>
            </w:r>
          </w:p>
        </w:tc>
      </w:tr>
      <w:tr w:rsidR="002C5B2A" w:rsidRPr="002F44AF" w14:paraId="181B9021"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01018D6B"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from financing activities</w:t>
            </w:r>
          </w:p>
        </w:tc>
        <w:tc>
          <w:tcPr>
            <w:tcW w:w="1131" w:type="dxa"/>
            <w:tcBorders>
              <w:top w:val="nil"/>
              <w:left w:val="nil"/>
              <w:bottom w:val="dotted" w:sz="8" w:space="0" w:color="auto"/>
              <w:right w:val="dotted" w:sz="8" w:space="0" w:color="auto"/>
            </w:tcBorders>
            <w:hideMark/>
          </w:tcPr>
          <w:p w14:paraId="339ADFC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dotted" w:sz="8" w:space="0" w:color="auto"/>
            </w:tcBorders>
            <w:vAlign w:val="bottom"/>
            <w:hideMark/>
          </w:tcPr>
          <w:p w14:paraId="57874E40"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6</w:t>
            </w:r>
          </w:p>
        </w:tc>
        <w:tc>
          <w:tcPr>
            <w:tcW w:w="999" w:type="dxa"/>
            <w:tcBorders>
              <w:top w:val="nil"/>
              <w:left w:val="nil"/>
              <w:bottom w:val="dotted" w:sz="8" w:space="0" w:color="auto"/>
              <w:right w:val="dotted" w:sz="8" w:space="0" w:color="auto"/>
            </w:tcBorders>
            <w:vAlign w:val="bottom"/>
            <w:hideMark/>
          </w:tcPr>
          <w:p w14:paraId="7CD1CFBD"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17</w:t>
            </w:r>
          </w:p>
        </w:tc>
      </w:tr>
      <w:tr w:rsidR="002C5B2A" w:rsidRPr="002F44AF" w14:paraId="19A1D09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4750F3D"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hideMark/>
          </w:tcPr>
          <w:p w14:paraId="49D67B6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44496CD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4FE1846B"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18"/>
                <w:szCs w:val="18"/>
                <w:lang w:eastAsia="en-GB"/>
              </w:rPr>
              <w:t> </w:t>
            </w:r>
          </w:p>
        </w:tc>
      </w:tr>
      <w:tr w:rsidR="002C5B2A" w:rsidRPr="002F44AF" w14:paraId="55165F0F"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6FCB2064"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(decrease)/increase in cash and cash equivalents</w:t>
            </w:r>
          </w:p>
        </w:tc>
        <w:tc>
          <w:tcPr>
            <w:tcW w:w="1131" w:type="dxa"/>
            <w:tcBorders>
              <w:top w:val="nil"/>
              <w:left w:val="nil"/>
              <w:bottom w:val="dotted" w:sz="8" w:space="0" w:color="auto"/>
              <w:right w:val="dotted" w:sz="8" w:space="0" w:color="auto"/>
            </w:tcBorders>
            <w:hideMark/>
          </w:tcPr>
          <w:p w14:paraId="5EA694BD"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(32)</w:t>
            </w:r>
          </w:p>
        </w:tc>
        <w:tc>
          <w:tcPr>
            <w:tcW w:w="1131" w:type="dxa"/>
            <w:tcBorders>
              <w:top w:val="nil"/>
              <w:left w:val="nil"/>
              <w:bottom w:val="dotted" w:sz="8" w:space="0" w:color="auto"/>
              <w:right w:val="dotted" w:sz="8" w:space="0" w:color="auto"/>
            </w:tcBorders>
            <w:vAlign w:val="bottom"/>
            <w:hideMark/>
          </w:tcPr>
          <w:p w14:paraId="37A4EC9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(501)</w:t>
            </w:r>
          </w:p>
        </w:tc>
        <w:tc>
          <w:tcPr>
            <w:tcW w:w="999" w:type="dxa"/>
            <w:tcBorders>
              <w:top w:val="nil"/>
              <w:left w:val="nil"/>
              <w:bottom w:val="dotted" w:sz="8" w:space="0" w:color="auto"/>
              <w:right w:val="dotted" w:sz="8" w:space="0" w:color="auto"/>
            </w:tcBorders>
            <w:vAlign w:val="bottom"/>
            <w:hideMark/>
          </w:tcPr>
          <w:p w14:paraId="4D15B6E5"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(471)</w:t>
            </w:r>
          </w:p>
        </w:tc>
      </w:tr>
      <w:tr w:rsidR="002C5B2A" w:rsidRPr="002F44AF" w14:paraId="518047E7"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5649A38E"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Cash and cash equivalents at beginning of period</w:t>
            </w:r>
          </w:p>
        </w:tc>
        <w:tc>
          <w:tcPr>
            <w:tcW w:w="1131" w:type="dxa"/>
            <w:tcBorders>
              <w:top w:val="nil"/>
              <w:left w:val="nil"/>
              <w:bottom w:val="dotted" w:sz="8" w:space="0" w:color="auto"/>
              <w:right w:val="dotted" w:sz="8" w:space="0" w:color="auto"/>
            </w:tcBorders>
            <w:hideMark/>
          </w:tcPr>
          <w:p w14:paraId="6214680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782</w:t>
            </w:r>
          </w:p>
        </w:tc>
        <w:tc>
          <w:tcPr>
            <w:tcW w:w="1131" w:type="dxa"/>
            <w:tcBorders>
              <w:top w:val="nil"/>
              <w:left w:val="nil"/>
              <w:bottom w:val="dotted" w:sz="8" w:space="0" w:color="auto"/>
              <w:right w:val="dotted" w:sz="8" w:space="0" w:color="auto"/>
            </w:tcBorders>
            <w:vAlign w:val="bottom"/>
            <w:hideMark/>
          </w:tcPr>
          <w:p w14:paraId="43E7045F"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1,253</w:t>
            </w:r>
          </w:p>
        </w:tc>
        <w:tc>
          <w:tcPr>
            <w:tcW w:w="999" w:type="dxa"/>
            <w:tcBorders>
              <w:top w:val="nil"/>
              <w:left w:val="nil"/>
              <w:bottom w:val="dotted" w:sz="8" w:space="0" w:color="auto"/>
              <w:right w:val="dotted" w:sz="8" w:space="0" w:color="auto"/>
            </w:tcBorders>
            <w:vAlign w:val="bottom"/>
            <w:hideMark/>
          </w:tcPr>
          <w:p w14:paraId="109F7CB8"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1,253</w:t>
            </w:r>
          </w:p>
        </w:tc>
      </w:tr>
      <w:tr w:rsidR="002C5B2A" w:rsidRPr="002F44AF" w14:paraId="03D20EED"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41535770"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and cash equivalents at end of period</w:t>
            </w:r>
          </w:p>
        </w:tc>
        <w:tc>
          <w:tcPr>
            <w:tcW w:w="1131" w:type="dxa"/>
            <w:tcBorders>
              <w:top w:val="nil"/>
              <w:left w:val="nil"/>
              <w:bottom w:val="dotted" w:sz="8" w:space="0" w:color="auto"/>
              <w:right w:val="dotted" w:sz="8" w:space="0" w:color="auto"/>
            </w:tcBorders>
            <w:hideMark/>
          </w:tcPr>
          <w:p w14:paraId="354E3A7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750</w:t>
            </w:r>
          </w:p>
        </w:tc>
        <w:tc>
          <w:tcPr>
            <w:tcW w:w="1131" w:type="dxa"/>
            <w:tcBorders>
              <w:top w:val="nil"/>
              <w:left w:val="nil"/>
              <w:bottom w:val="dotted" w:sz="8" w:space="0" w:color="auto"/>
              <w:right w:val="dotted" w:sz="8" w:space="0" w:color="auto"/>
            </w:tcBorders>
            <w:vAlign w:val="bottom"/>
            <w:hideMark/>
          </w:tcPr>
          <w:p w14:paraId="15255B05"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752</w:t>
            </w:r>
          </w:p>
        </w:tc>
        <w:tc>
          <w:tcPr>
            <w:tcW w:w="999" w:type="dxa"/>
            <w:tcBorders>
              <w:top w:val="nil"/>
              <w:left w:val="nil"/>
              <w:bottom w:val="dotted" w:sz="8" w:space="0" w:color="auto"/>
              <w:right w:val="dotted" w:sz="8" w:space="0" w:color="auto"/>
            </w:tcBorders>
            <w:vAlign w:val="bottom"/>
            <w:hideMark/>
          </w:tcPr>
          <w:p w14:paraId="5521915A" w14:textId="77777777" w:rsidR="002C5B2A" w:rsidRPr="002F44AF" w:rsidRDefault="002C5B2A" w:rsidP="00A00BE9">
            <w:pPr>
              <w:spacing w:after="0" w:line="207" w:lineRule="atLeast"/>
              <w:jc w:val="righ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782</w:t>
            </w:r>
          </w:p>
        </w:tc>
      </w:tr>
    </w:tbl>
    <w:p w14:paraId="2C935CC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2C5B57D3" w14:textId="605E5AEC" w:rsidR="008D624E" w:rsidRDefault="002C5B2A" w:rsidP="002C5B2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2F44AF">
        <w:rPr>
          <w:rFonts w:ascii="Times New Roman" w:eastAsia="Times New Roman" w:hAnsi="Times New Roman" w:cs="Times New Roman"/>
          <w:b/>
          <w:bCs/>
          <w:color w:val="000000"/>
          <w:sz w:val="27"/>
          <w:szCs w:val="27"/>
          <w:lang w:eastAsia="en-GB"/>
        </w:rPr>
        <w:t> </w:t>
      </w:r>
    </w:p>
    <w:p w14:paraId="1ED2EC7F" w14:textId="77777777" w:rsidR="008D624E" w:rsidRDefault="008D624E">
      <w:pPr>
        <w:spacing w:after="160" w:line="259" w:lineRule="auto"/>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br w:type="page"/>
      </w:r>
    </w:p>
    <w:p w14:paraId="4744F419" w14:textId="77777777" w:rsidR="002C5B2A" w:rsidRPr="008D624E" w:rsidRDefault="002C5B2A" w:rsidP="002C5B2A">
      <w:pPr>
        <w:spacing w:after="0" w:line="36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lastRenderedPageBreak/>
        <w:t>Notes to the unaudited interim financial statements</w:t>
      </w:r>
    </w:p>
    <w:p w14:paraId="3B5530A2" w14:textId="77777777" w:rsidR="002C5B2A" w:rsidRPr="008D624E" w:rsidRDefault="002C5B2A" w:rsidP="002C5B2A">
      <w:pPr>
        <w:spacing w:after="0" w:line="24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t>For the six months ended 31 March 2019</w:t>
      </w:r>
    </w:p>
    <w:p w14:paraId="4E37909D"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B3C81A"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 Basis of preparation</w:t>
      </w:r>
    </w:p>
    <w:p w14:paraId="40106AF5"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statements, which are unaudited, have been prepared on the basis of the accounting policies expected to apply for the financial year to 30 September 2019 and in accordance with recognition and measurement principles of International Financial Reporting Standards ('IFRSs') as endorsed by the European Union. The accounting policies applied in the preparation of these interim financial statements are consistent with those used in the financial statements for the year ended 30 September 2018.</w:t>
      </w:r>
    </w:p>
    <w:p w14:paraId="50E406DB"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6E7CED5"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statements do not include all of the information required for full annual financial statements and do not comply with all the disclosures in IAS 34 'Interim financial reporting'. Accordingly, whilst the interim statements have been prepared in accordance with IFRSs, they cannot be construed as being in full compliance with IFRSs.</w:t>
      </w:r>
    </w:p>
    <w:p w14:paraId="15F6A1F7"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1B03961"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financial information for the year ended 30 September 2018 does not constitute the full statutory accounts for that period. The annual report and financial statements for the year ended 30 September 2018 have been filed with the Registrar of Companies. The Independent auditor's report on the report and financial statements for the year ended 30 September 2018 was unqualified, did not draw attention to any matters by way of emphasis, and did not contain a statement under Section 498(2) or 498(3) of the Companies Act 2006.</w:t>
      </w:r>
    </w:p>
    <w:p w14:paraId="5095FE00"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3E35F2"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 Going concern</w:t>
      </w:r>
    </w:p>
    <w:p w14:paraId="5EA846A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information has been prepared on a going concern basis, which assumes that the Company will have adequate resources to continue in operational existence for the foreseeable future.</w:t>
      </w:r>
    </w:p>
    <w:p w14:paraId="78AA4D6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38693E9E"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3 Earnings per share ('EPS')</w:t>
      </w:r>
    </w:p>
    <w:p w14:paraId="3893FC28"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Basic earnings per ordinary share is based on the loss on ordinary activities before taxation of £177,841 and on 136,354,577 ordinary shares in issue throughout the period.</w:t>
      </w:r>
    </w:p>
    <w:p w14:paraId="203D4C52"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6AA5ABB2" w14:textId="77777777" w:rsidR="002C5B2A" w:rsidRPr="002F44AF" w:rsidRDefault="002C5B2A" w:rsidP="002C5B2A">
      <w:pPr>
        <w:spacing w:after="0" w:line="240" w:lineRule="auto"/>
        <w:jc w:val="both"/>
        <w:rPr>
          <w:rFonts w:ascii="Times New Roman" w:eastAsia="Times New Roman" w:hAnsi="Times New Roman" w:cs="Times New Roman"/>
          <w:color w:val="000000"/>
          <w:sz w:val="20"/>
          <w:szCs w:val="20"/>
          <w:lang w:eastAsia="en-GB"/>
        </w:rPr>
      </w:pPr>
      <w:r w:rsidRPr="002F44AF">
        <w:rPr>
          <w:rFonts w:ascii="Arial" w:eastAsia="Times New Roman" w:hAnsi="Arial" w:cs="Arial"/>
          <w:color w:val="000000"/>
          <w:sz w:val="20"/>
          <w:szCs w:val="20"/>
          <w:lang w:eastAsia="en-GB"/>
        </w:rPr>
        <w:t>Diluted profit per share is calculated by adjusting the weighted average number of ordinary shares in issue on the assumption of conversion of dilutive potential ordinary shares, based on the share price at the end of the period.  The Company's dilutive potential ordinary shares are shares issued under the Company's Enterprise Management Incentive ('EMI') scheme and options issued under the Company's Unapproved scheme.</w:t>
      </w:r>
    </w:p>
    <w:p w14:paraId="70B8B78F" w14:textId="77777777" w:rsidR="002C5B2A" w:rsidRPr="002F44AF" w:rsidRDefault="002C5B2A" w:rsidP="002C5B2A">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7966D85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 IFRS 2 'Share-based payments'</w:t>
      </w:r>
    </w:p>
    <w:p w14:paraId="79876BE1"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expenses includes a charge of £2,777 (2018: £5,887) after valuation of the Company's employee share option schemes in accordance with IFRS 2. Under this standard, the fair value of the options at the grant date is spread over the vesting period. These charges have been credited to equity in accordance with IFRS2 as presented in the consolidated statement of changes in equity.</w:t>
      </w:r>
    </w:p>
    <w:p w14:paraId="5B429FEE"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FE5DC8"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5 Additional copies</w:t>
      </w:r>
    </w:p>
    <w:p w14:paraId="2A607FD9"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Further copies of the 2019 interim report are available on the Company's website, www.ish.co.uk, and from the Company's registered office, 16-18 Hayhill Industrial Estate, </w:t>
      </w:r>
      <w:proofErr w:type="spellStart"/>
      <w:r w:rsidRPr="002F44AF">
        <w:rPr>
          <w:rFonts w:ascii="Arial" w:eastAsia="Times New Roman" w:hAnsi="Arial" w:cs="Arial"/>
          <w:color w:val="000000"/>
          <w:sz w:val="20"/>
          <w:szCs w:val="20"/>
          <w:lang w:eastAsia="en-GB"/>
        </w:rPr>
        <w:t>Sileby</w:t>
      </w:r>
      <w:proofErr w:type="spellEnd"/>
      <w:r w:rsidRPr="002F44AF">
        <w:rPr>
          <w:rFonts w:ascii="Arial" w:eastAsia="Times New Roman" w:hAnsi="Arial" w:cs="Arial"/>
          <w:color w:val="000000"/>
          <w:sz w:val="20"/>
          <w:szCs w:val="20"/>
          <w:lang w:eastAsia="en-GB"/>
        </w:rPr>
        <w:t xml:space="preserve"> Road, Barrow-upon-Soar, Leicestershire LE12 8LD.</w:t>
      </w:r>
    </w:p>
    <w:p w14:paraId="53157887" w14:textId="77777777" w:rsidR="002C5B2A" w:rsidRPr="002F44AF" w:rsidRDefault="002C5B2A" w:rsidP="002C5B2A">
      <w:pPr>
        <w:spacing w:after="0" w:line="360" w:lineRule="atLeast"/>
        <w:rPr>
          <w:rFonts w:ascii="Arial" w:eastAsia="Times New Roman" w:hAnsi="Arial" w:cs="Arial"/>
          <w:color w:val="000000"/>
          <w:sz w:val="32"/>
          <w:szCs w:val="32"/>
          <w:lang w:eastAsia="en-GB"/>
        </w:rPr>
      </w:pPr>
      <w:r w:rsidRPr="002F44AF">
        <w:rPr>
          <w:rFonts w:ascii="Arial" w:eastAsia="Times New Roman" w:hAnsi="Arial" w:cs="Arial"/>
          <w:color w:val="000000"/>
          <w:sz w:val="20"/>
          <w:szCs w:val="20"/>
          <w:lang w:eastAsia="en-GB"/>
        </w:rPr>
        <w:t> </w:t>
      </w:r>
    </w:p>
    <w:p w14:paraId="79BDC4EE" w14:textId="77777777" w:rsidR="002C5B2A" w:rsidRPr="002F44AF" w:rsidRDefault="002C5B2A" w:rsidP="002C5B2A">
      <w:pPr>
        <w:spacing w:after="0" w:line="253" w:lineRule="atLeast"/>
        <w:jc w:val="both"/>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p w14:paraId="0038E244" w14:textId="77777777" w:rsidR="002C5B2A" w:rsidRPr="002F44AF" w:rsidRDefault="002C5B2A" w:rsidP="002C5B2A">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 </w:t>
      </w:r>
    </w:p>
    <w:p w14:paraId="50F1DE06" w14:textId="77777777" w:rsidR="009943B2" w:rsidRPr="00B60027" w:rsidRDefault="009943B2">
      <w:pPr>
        <w:rPr>
          <w:rFonts w:ascii="Arial" w:hAnsi="Arial" w:cs="Arial"/>
          <w:b/>
          <w:bCs/>
          <w:sz w:val="30"/>
          <w:szCs w:val="30"/>
        </w:rPr>
      </w:pPr>
      <w:bookmarkStart w:id="0" w:name="_GoBack"/>
      <w:bookmarkEnd w:id="0"/>
    </w:p>
    <w:sectPr w:rsidR="009943B2" w:rsidRPr="00B600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2EB8" w14:textId="77777777" w:rsidR="004427C8" w:rsidRDefault="00806109">
      <w:pPr>
        <w:spacing w:after="0" w:line="240" w:lineRule="auto"/>
      </w:pPr>
      <w:r>
        <w:separator/>
      </w:r>
    </w:p>
  </w:endnote>
  <w:endnote w:type="continuationSeparator" w:id="0">
    <w:p w14:paraId="53829B1A" w14:textId="77777777" w:rsidR="004427C8" w:rsidRDefault="0080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AEC1" w14:textId="0EAD6F3D" w:rsidR="00113D47" w:rsidRPr="00F13A26" w:rsidRDefault="00C12495" w:rsidP="00F13A26">
    <w:pPr>
      <w:pStyle w:val="Footer"/>
      <w:tabs>
        <w:tab w:val="clear" w:pos="4513"/>
        <w:tab w:val="clear" w:pos="9026"/>
        <w:tab w:val="left" w:pos="284"/>
      </w:tabs>
      <w:rPr>
        <w:rFonts w:ascii="Arial" w:hAnsi="Arial" w:cs="Arial"/>
        <w:sz w:val="14"/>
        <w:szCs w:val="14"/>
      </w:rPr>
    </w:pPr>
    <w:r w:rsidRPr="00F13A26">
      <w:rPr>
        <w:rFonts w:ascii="Arial" w:hAnsi="Arial" w:cs="Arial"/>
        <w:b/>
        <w:sz w:val="14"/>
        <w:szCs w:val="14"/>
      </w:rPr>
      <w:t>Image Scan Holdings plc</w:t>
    </w:r>
    <w:r>
      <w:rPr>
        <w:rFonts w:ascii="Arial" w:hAnsi="Arial" w:cs="Arial"/>
        <w:sz w:val="14"/>
        <w:szCs w:val="14"/>
      </w:rPr>
      <w:t xml:space="preserve"> interim report 2018</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F13A26">
      <w:rPr>
        <w:rFonts w:ascii="Arial" w:hAnsi="Arial" w:cs="Arial"/>
        <w:sz w:val="14"/>
        <w:szCs w:val="14"/>
      </w:rPr>
      <w:fldChar w:fldCharType="begin"/>
    </w:r>
    <w:r w:rsidRPr="00F13A26">
      <w:rPr>
        <w:rFonts w:ascii="Arial" w:hAnsi="Arial" w:cs="Arial"/>
        <w:sz w:val="14"/>
        <w:szCs w:val="14"/>
      </w:rPr>
      <w:instrText xml:space="preserve"> PAGE   \* MERGEFORMAT </w:instrText>
    </w:r>
    <w:r w:rsidRPr="00F13A26">
      <w:rPr>
        <w:rFonts w:ascii="Arial" w:hAnsi="Arial" w:cs="Arial"/>
        <w:sz w:val="14"/>
        <w:szCs w:val="14"/>
      </w:rPr>
      <w:fldChar w:fldCharType="separate"/>
    </w:r>
    <w:r w:rsidR="008F0CE5">
      <w:rPr>
        <w:rFonts w:ascii="Arial" w:hAnsi="Arial" w:cs="Arial"/>
        <w:noProof/>
        <w:sz w:val="14"/>
        <w:szCs w:val="14"/>
      </w:rPr>
      <w:t>8</w:t>
    </w:r>
    <w:r w:rsidRPr="00F13A26">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6F9D" w14:textId="77777777" w:rsidR="004427C8" w:rsidRDefault="00806109">
      <w:pPr>
        <w:spacing w:after="0" w:line="240" w:lineRule="auto"/>
      </w:pPr>
      <w:r>
        <w:separator/>
      </w:r>
    </w:p>
  </w:footnote>
  <w:footnote w:type="continuationSeparator" w:id="0">
    <w:p w14:paraId="7496F1B1" w14:textId="77777777" w:rsidR="004427C8" w:rsidRDefault="0080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6AE"/>
    <w:multiLevelType w:val="hybridMultilevel"/>
    <w:tmpl w:val="5478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A07E9"/>
    <w:multiLevelType w:val="hybridMultilevel"/>
    <w:tmpl w:val="31E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27"/>
    <w:rsid w:val="0000061B"/>
    <w:rsid w:val="00001256"/>
    <w:rsid w:val="000016EB"/>
    <w:rsid w:val="000032F8"/>
    <w:rsid w:val="00003822"/>
    <w:rsid w:val="000045B0"/>
    <w:rsid w:val="000050D4"/>
    <w:rsid w:val="00005325"/>
    <w:rsid w:val="00005EAF"/>
    <w:rsid w:val="00007F5E"/>
    <w:rsid w:val="00010758"/>
    <w:rsid w:val="00010C38"/>
    <w:rsid w:val="00010ED0"/>
    <w:rsid w:val="00011610"/>
    <w:rsid w:val="00015BA2"/>
    <w:rsid w:val="000171E2"/>
    <w:rsid w:val="00017E9F"/>
    <w:rsid w:val="0002012C"/>
    <w:rsid w:val="00022C18"/>
    <w:rsid w:val="00023E29"/>
    <w:rsid w:val="000250E8"/>
    <w:rsid w:val="00025C84"/>
    <w:rsid w:val="00030FA2"/>
    <w:rsid w:val="0003495F"/>
    <w:rsid w:val="000404BB"/>
    <w:rsid w:val="00040A12"/>
    <w:rsid w:val="000411FB"/>
    <w:rsid w:val="00041CFC"/>
    <w:rsid w:val="00042309"/>
    <w:rsid w:val="00042664"/>
    <w:rsid w:val="00043AA9"/>
    <w:rsid w:val="00043D5D"/>
    <w:rsid w:val="00044E26"/>
    <w:rsid w:val="00046B49"/>
    <w:rsid w:val="00046BE0"/>
    <w:rsid w:val="00047EA0"/>
    <w:rsid w:val="00054619"/>
    <w:rsid w:val="00055773"/>
    <w:rsid w:val="0005652C"/>
    <w:rsid w:val="00057557"/>
    <w:rsid w:val="00061160"/>
    <w:rsid w:val="00061C84"/>
    <w:rsid w:val="00062AF7"/>
    <w:rsid w:val="00062F9A"/>
    <w:rsid w:val="00066207"/>
    <w:rsid w:val="000674C8"/>
    <w:rsid w:val="000722FF"/>
    <w:rsid w:val="00072799"/>
    <w:rsid w:val="0007340A"/>
    <w:rsid w:val="00074E43"/>
    <w:rsid w:val="00075365"/>
    <w:rsid w:val="00075F03"/>
    <w:rsid w:val="00080267"/>
    <w:rsid w:val="0008073E"/>
    <w:rsid w:val="000851AF"/>
    <w:rsid w:val="00093427"/>
    <w:rsid w:val="00094E75"/>
    <w:rsid w:val="000956CB"/>
    <w:rsid w:val="000A095C"/>
    <w:rsid w:val="000A0DD6"/>
    <w:rsid w:val="000A181A"/>
    <w:rsid w:val="000A19A7"/>
    <w:rsid w:val="000A35A5"/>
    <w:rsid w:val="000A5095"/>
    <w:rsid w:val="000A5F3C"/>
    <w:rsid w:val="000A661F"/>
    <w:rsid w:val="000B3671"/>
    <w:rsid w:val="000B5D94"/>
    <w:rsid w:val="000B642A"/>
    <w:rsid w:val="000B7ADF"/>
    <w:rsid w:val="000C144F"/>
    <w:rsid w:val="000C2764"/>
    <w:rsid w:val="000C33AF"/>
    <w:rsid w:val="000C6A49"/>
    <w:rsid w:val="000C78C6"/>
    <w:rsid w:val="000C7906"/>
    <w:rsid w:val="000D21A3"/>
    <w:rsid w:val="000D6181"/>
    <w:rsid w:val="000D7AD3"/>
    <w:rsid w:val="000D7B17"/>
    <w:rsid w:val="000E0638"/>
    <w:rsid w:val="000E21DD"/>
    <w:rsid w:val="000E33CA"/>
    <w:rsid w:val="000E420E"/>
    <w:rsid w:val="000E6F6A"/>
    <w:rsid w:val="000F09AF"/>
    <w:rsid w:val="000F0D21"/>
    <w:rsid w:val="000F0E65"/>
    <w:rsid w:val="000F141D"/>
    <w:rsid w:val="000F2AC9"/>
    <w:rsid w:val="000F2AE9"/>
    <w:rsid w:val="000F3697"/>
    <w:rsid w:val="000F5F03"/>
    <w:rsid w:val="000F6FBD"/>
    <w:rsid w:val="000F7BC1"/>
    <w:rsid w:val="00101943"/>
    <w:rsid w:val="00102161"/>
    <w:rsid w:val="00102615"/>
    <w:rsid w:val="00102FED"/>
    <w:rsid w:val="00104CC6"/>
    <w:rsid w:val="00111EE6"/>
    <w:rsid w:val="0011233F"/>
    <w:rsid w:val="0012081A"/>
    <w:rsid w:val="00122026"/>
    <w:rsid w:val="001224B8"/>
    <w:rsid w:val="00123466"/>
    <w:rsid w:val="001252C7"/>
    <w:rsid w:val="00125863"/>
    <w:rsid w:val="001262E3"/>
    <w:rsid w:val="0013086A"/>
    <w:rsid w:val="0013146A"/>
    <w:rsid w:val="001326E0"/>
    <w:rsid w:val="0013334A"/>
    <w:rsid w:val="001344B0"/>
    <w:rsid w:val="00137075"/>
    <w:rsid w:val="00137474"/>
    <w:rsid w:val="00137554"/>
    <w:rsid w:val="001437BC"/>
    <w:rsid w:val="00144FA8"/>
    <w:rsid w:val="001451DF"/>
    <w:rsid w:val="0014700E"/>
    <w:rsid w:val="001549A5"/>
    <w:rsid w:val="00155D5A"/>
    <w:rsid w:val="001579A7"/>
    <w:rsid w:val="00157F2B"/>
    <w:rsid w:val="00163A72"/>
    <w:rsid w:val="00164C3D"/>
    <w:rsid w:val="00165EA1"/>
    <w:rsid w:val="00171A3F"/>
    <w:rsid w:val="00172E23"/>
    <w:rsid w:val="00174C3C"/>
    <w:rsid w:val="001752D7"/>
    <w:rsid w:val="00176814"/>
    <w:rsid w:val="001770D1"/>
    <w:rsid w:val="001772D8"/>
    <w:rsid w:val="0017785D"/>
    <w:rsid w:val="00177915"/>
    <w:rsid w:val="00177E0C"/>
    <w:rsid w:val="00180B7F"/>
    <w:rsid w:val="00182D98"/>
    <w:rsid w:val="0018311F"/>
    <w:rsid w:val="0018534E"/>
    <w:rsid w:val="00187B16"/>
    <w:rsid w:val="00190B1B"/>
    <w:rsid w:val="00192A97"/>
    <w:rsid w:val="00195D29"/>
    <w:rsid w:val="001A2C37"/>
    <w:rsid w:val="001A34C2"/>
    <w:rsid w:val="001A4E44"/>
    <w:rsid w:val="001A4F9C"/>
    <w:rsid w:val="001A6827"/>
    <w:rsid w:val="001A6B86"/>
    <w:rsid w:val="001B1382"/>
    <w:rsid w:val="001B1E0A"/>
    <w:rsid w:val="001B2836"/>
    <w:rsid w:val="001B3771"/>
    <w:rsid w:val="001B4425"/>
    <w:rsid w:val="001B5378"/>
    <w:rsid w:val="001B7E2D"/>
    <w:rsid w:val="001C1368"/>
    <w:rsid w:val="001C4335"/>
    <w:rsid w:val="001C47BE"/>
    <w:rsid w:val="001C6C9A"/>
    <w:rsid w:val="001D0AD4"/>
    <w:rsid w:val="001D2D5A"/>
    <w:rsid w:val="001D377D"/>
    <w:rsid w:val="001D61B2"/>
    <w:rsid w:val="001D74D2"/>
    <w:rsid w:val="001E2E60"/>
    <w:rsid w:val="001E47A7"/>
    <w:rsid w:val="001F2E59"/>
    <w:rsid w:val="001F3E36"/>
    <w:rsid w:val="001F42E8"/>
    <w:rsid w:val="001F5629"/>
    <w:rsid w:val="001F5DDE"/>
    <w:rsid w:val="001F5FC0"/>
    <w:rsid w:val="00200F59"/>
    <w:rsid w:val="00205ED2"/>
    <w:rsid w:val="002061C9"/>
    <w:rsid w:val="00210FB1"/>
    <w:rsid w:val="00211113"/>
    <w:rsid w:val="00211A91"/>
    <w:rsid w:val="002131EA"/>
    <w:rsid w:val="002155B0"/>
    <w:rsid w:val="00224385"/>
    <w:rsid w:val="00225930"/>
    <w:rsid w:val="00225C6D"/>
    <w:rsid w:val="00227196"/>
    <w:rsid w:val="00233468"/>
    <w:rsid w:val="0023391C"/>
    <w:rsid w:val="00236A7A"/>
    <w:rsid w:val="00243848"/>
    <w:rsid w:val="00244560"/>
    <w:rsid w:val="00246FDD"/>
    <w:rsid w:val="002519AE"/>
    <w:rsid w:val="00251C70"/>
    <w:rsid w:val="0025223F"/>
    <w:rsid w:val="002523D9"/>
    <w:rsid w:val="00252A6C"/>
    <w:rsid w:val="002564C6"/>
    <w:rsid w:val="00262F66"/>
    <w:rsid w:val="00263F25"/>
    <w:rsid w:val="00264B81"/>
    <w:rsid w:val="00265386"/>
    <w:rsid w:val="0026550A"/>
    <w:rsid w:val="002714FE"/>
    <w:rsid w:val="00271B69"/>
    <w:rsid w:val="00273091"/>
    <w:rsid w:val="002766ED"/>
    <w:rsid w:val="002767A7"/>
    <w:rsid w:val="002801D1"/>
    <w:rsid w:val="00281DC3"/>
    <w:rsid w:val="00284A1E"/>
    <w:rsid w:val="0028674E"/>
    <w:rsid w:val="00287CF0"/>
    <w:rsid w:val="0029153A"/>
    <w:rsid w:val="00291684"/>
    <w:rsid w:val="00293CB7"/>
    <w:rsid w:val="00294076"/>
    <w:rsid w:val="002968DF"/>
    <w:rsid w:val="00296D79"/>
    <w:rsid w:val="00297D0E"/>
    <w:rsid w:val="002A29A8"/>
    <w:rsid w:val="002A30A2"/>
    <w:rsid w:val="002A4F68"/>
    <w:rsid w:val="002A4FBA"/>
    <w:rsid w:val="002A5C3F"/>
    <w:rsid w:val="002A79DF"/>
    <w:rsid w:val="002A7BD6"/>
    <w:rsid w:val="002B216E"/>
    <w:rsid w:val="002B311C"/>
    <w:rsid w:val="002B427D"/>
    <w:rsid w:val="002B4ADD"/>
    <w:rsid w:val="002B5231"/>
    <w:rsid w:val="002B5EF0"/>
    <w:rsid w:val="002B6304"/>
    <w:rsid w:val="002B6F75"/>
    <w:rsid w:val="002C0259"/>
    <w:rsid w:val="002C19E7"/>
    <w:rsid w:val="002C3BE5"/>
    <w:rsid w:val="002C4CA2"/>
    <w:rsid w:val="002C5B2A"/>
    <w:rsid w:val="002C6002"/>
    <w:rsid w:val="002D1D0D"/>
    <w:rsid w:val="002D350E"/>
    <w:rsid w:val="002D55F0"/>
    <w:rsid w:val="002E1508"/>
    <w:rsid w:val="002E4839"/>
    <w:rsid w:val="002E6882"/>
    <w:rsid w:val="002E788B"/>
    <w:rsid w:val="002F0A25"/>
    <w:rsid w:val="002F0D35"/>
    <w:rsid w:val="002F21EC"/>
    <w:rsid w:val="002F335D"/>
    <w:rsid w:val="002F6BE0"/>
    <w:rsid w:val="003014DC"/>
    <w:rsid w:val="00304140"/>
    <w:rsid w:val="00304AFE"/>
    <w:rsid w:val="00306536"/>
    <w:rsid w:val="00306F80"/>
    <w:rsid w:val="00306F98"/>
    <w:rsid w:val="00311726"/>
    <w:rsid w:val="003121F8"/>
    <w:rsid w:val="00313D02"/>
    <w:rsid w:val="00314188"/>
    <w:rsid w:val="0031641F"/>
    <w:rsid w:val="003172C2"/>
    <w:rsid w:val="00322911"/>
    <w:rsid w:val="003235F4"/>
    <w:rsid w:val="00324EB6"/>
    <w:rsid w:val="003266FF"/>
    <w:rsid w:val="00327461"/>
    <w:rsid w:val="00333249"/>
    <w:rsid w:val="00334A42"/>
    <w:rsid w:val="0033502C"/>
    <w:rsid w:val="00335892"/>
    <w:rsid w:val="00335D5A"/>
    <w:rsid w:val="00342319"/>
    <w:rsid w:val="00344492"/>
    <w:rsid w:val="00344C9C"/>
    <w:rsid w:val="0034530E"/>
    <w:rsid w:val="003458F3"/>
    <w:rsid w:val="003472AF"/>
    <w:rsid w:val="003501E6"/>
    <w:rsid w:val="0035255F"/>
    <w:rsid w:val="00355ED7"/>
    <w:rsid w:val="00357053"/>
    <w:rsid w:val="0035733F"/>
    <w:rsid w:val="00357750"/>
    <w:rsid w:val="00362CA2"/>
    <w:rsid w:val="00367ECF"/>
    <w:rsid w:val="00370D12"/>
    <w:rsid w:val="003735AC"/>
    <w:rsid w:val="00373B83"/>
    <w:rsid w:val="003758F8"/>
    <w:rsid w:val="00375CE8"/>
    <w:rsid w:val="00377326"/>
    <w:rsid w:val="003775D8"/>
    <w:rsid w:val="00384BC3"/>
    <w:rsid w:val="00384ED3"/>
    <w:rsid w:val="00387296"/>
    <w:rsid w:val="00387F48"/>
    <w:rsid w:val="003903BF"/>
    <w:rsid w:val="00390A4E"/>
    <w:rsid w:val="00390B8C"/>
    <w:rsid w:val="0039132C"/>
    <w:rsid w:val="00392EDC"/>
    <w:rsid w:val="0039354E"/>
    <w:rsid w:val="00394F76"/>
    <w:rsid w:val="003A1F4D"/>
    <w:rsid w:val="003A285C"/>
    <w:rsid w:val="003A429F"/>
    <w:rsid w:val="003A731B"/>
    <w:rsid w:val="003B106B"/>
    <w:rsid w:val="003B1810"/>
    <w:rsid w:val="003B336A"/>
    <w:rsid w:val="003B5041"/>
    <w:rsid w:val="003B67B4"/>
    <w:rsid w:val="003B6CEB"/>
    <w:rsid w:val="003B74F5"/>
    <w:rsid w:val="003C2A64"/>
    <w:rsid w:val="003C3148"/>
    <w:rsid w:val="003C62E0"/>
    <w:rsid w:val="003C6BEB"/>
    <w:rsid w:val="003C796A"/>
    <w:rsid w:val="003D0019"/>
    <w:rsid w:val="003D22FC"/>
    <w:rsid w:val="003D24AA"/>
    <w:rsid w:val="003D38E1"/>
    <w:rsid w:val="003D398E"/>
    <w:rsid w:val="003E0B5A"/>
    <w:rsid w:val="003E1AC4"/>
    <w:rsid w:val="003E554C"/>
    <w:rsid w:val="003E6707"/>
    <w:rsid w:val="003E7D49"/>
    <w:rsid w:val="003F2C47"/>
    <w:rsid w:val="003F52A7"/>
    <w:rsid w:val="003F774D"/>
    <w:rsid w:val="003F77CE"/>
    <w:rsid w:val="003F7A20"/>
    <w:rsid w:val="00400D13"/>
    <w:rsid w:val="004026D3"/>
    <w:rsid w:val="00402EDE"/>
    <w:rsid w:val="00403F4D"/>
    <w:rsid w:val="00404FAB"/>
    <w:rsid w:val="004050A7"/>
    <w:rsid w:val="004051F6"/>
    <w:rsid w:val="00406172"/>
    <w:rsid w:val="0041221D"/>
    <w:rsid w:val="00412A5D"/>
    <w:rsid w:val="00416325"/>
    <w:rsid w:val="00416590"/>
    <w:rsid w:val="004206AB"/>
    <w:rsid w:val="004231ED"/>
    <w:rsid w:val="00424739"/>
    <w:rsid w:val="004248B4"/>
    <w:rsid w:val="004315E2"/>
    <w:rsid w:val="00433E7C"/>
    <w:rsid w:val="00434A1A"/>
    <w:rsid w:val="00434D2A"/>
    <w:rsid w:val="00435C20"/>
    <w:rsid w:val="004416EE"/>
    <w:rsid w:val="004427C8"/>
    <w:rsid w:val="00442AE8"/>
    <w:rsid w:val="00443762"/>
    <w:rsid w:val="00443F49"/>
    <w:rsid w:val="0044488E"/>
    <w:rsid w:val="00444F8D"/>
    <w:rsid w:val="00446D64"/>
    <w:rsid w:val="00447FDD"/>
    <w:rsid w:val="00450EFE"/>
    <w:rsid w:val="00451443"/>
    <w:rsid w:val="00451AC4"/>
    <w:rsid w:val="00452A7C"/>
    <w:rsid w:val="00452E13"/>
    <w:rsid w:val="004549E2"/>
    <w:rsid w:val="004566FA"/>
    <w:rsid w:val="00456A39"/>
    <w:rsid w:val="00460960"/>
    <w:rsid w:val="00461044"/>
    <w:rsid w:val="00463E1F"/>
    <w:rsid w:val="00464C4D"/>
    <w:rsid w:val="00465A2C"/>
    <w:rsid w:val="004747A0"/>
    <w:rsid w:val="004747B3"/>
    <w:rsid w:val="00474C76"/>
    <w:rsid w:val="00475701"/>
    <w:rsid w:val="00476232"/>
    <w:rsid w:val="00476E08"/>
    <w:rsid w:val="004804F0"/>
    <w:rsid w:val="00480D58"/>
    <w:rsid w:val="004832A7"/>
    <w:rsid w:val="0048387B"/>
    <w:rsid w:val="004838E4"/>
    <w:rsid w:val="004856AD"/>
    <w:rsid w:val="00485B1F"/>
    <w:rsid w:val="004861C2"/>
    <w:rsid w:val="00486410"/>
    <w:rsid w:val="0048652C"/>
    <w:rsid w:val="004871FD"/>
    <w:rsid w:val="004911C3"/>
    <w:rsid w:val="004920C6"/>
    <w:rsid w:val="00496AB1"/>
    <w:rsid w:val="00497438"/>
    <w:rsid w:val="004A0903"/>
    <w:rsid w:val="004A37F7"/>
    <w:rsid w:val="004A3D7E"/>
    <w:rsid w:val="004B203A"/>
    <w:rsid w:val="004B3C74"/>
    <w:rsid w:val="004B4E84"/>
    <w:rsid w:val="004B575E"/>
    <w:rsid w:val="004B7A44"/>
    <w:rsid w:val="004C069A"/>
    <w:rsid w:val="004C1147"/>
    <w:rsid w:val="004C291F"/>
    <w:rsid w:val="004C58FE"/>
    <w:rsid w:val="004C62F5"/>
    <w:rsid w:val="004C6B32"/>
    <w:rsid w:val="004C6DCF"/>
    <w:rsid w:val="004C79FD"/>
    <w:rsid w:val="004D1120"/>
    <w:rsid w:val="004D204B"/>
    <w:rsid w:val="004D5360"/>
    <w:rsid w:val="004D5C2A"/>
    <w:rsid w:val="004D69A0"/>
    <w:rsid w:val="004E0997"/>
    <w:rsid w:val="004E0C9B"/>
    <w:rsid w:val="004E21F3"/>
    <w:rsid w:val="004E54CB"/>
    <w:rsid w:val="004E58BE"/>
    <w:rsid w:val="004E6AA5"/>
    <w:rsid w:val="004E6B13"/>
    <w:rsid w:val="004E707F"/>
    <w:rsid w:val="004F0E70"/>
    <w:rsid w:val="004F1478"/>
    <w:rsid w:val="004F35B2"/>
    <w:rsid w:val="004F763D"/>
    <w:rsid w:val="004F7FD3"/>
    <w:rsid w:val="005021F2"/>
    <w:rsid w:val="0050259B"/>
    <w:rsid w:val="00503D29"/>
    <w:rsid w:val="00504739"/>
    <w:rsid w:val="00505B41"/>
    <w:rsid w:val="005113A5"/>
    <w:rsid w:val="005113B7"/>
    <w:rsid w:val="005124DE"/>
    <w:rsid w:val="00513D22"/>
    <w:rsid w:val="00513ED7"/>
    <w:rsid w:val="00520952"/>
    <w:rsid w:val="0052294B"/>
    <w:rsid w:val="00524BA1"/>
    <w:rsid w:val="00525512"/>
    <w:rsid w:val="00525E8A"/>
    <w:rsid w:val="00526600"/>
    <w:rsid w:val="005273FB"/>
    <w:rsid w:val="00531D91"/>
    <w:rsid w:val="0053244E"/>
    <w:rsid w:val="00532D9B"/>
    <w:rsid w:val="00534CA1"/>
    <w:rsid w:val="00535559"/>
    <w:rsid w:val="00535806"/>
    <w:rsid w:val="00540364"/>
    <w:rsid w:val="00541592"/>
    <w:rsid w:val="00542A61"/>
    <w:rsid w:val="00543F92"/>
    <w:rsid w:val="00544BE7"/>
    <w:rsid w:val="00545CA2"/>
    <w:rsid w:val="00547675"/>
    <w:rsid w:val="005478D6"/>
    <w:rsid w:val="00551A3F"/>
    <w:rsid w:val="00552793"/>
    <w:rsid w:val="005532C5"/>
    <w:rsid w:val="00554BEC"/>
    <w:rsid w:val="00555131"/>
    <w:rsid w:val="00555AC2"/>
    <w:rsid w:val="0055666F"/>
    <w:rsid w:val="005572D2"/>
    <w:rsid w:val="00561BFF"/>
    <w:rsid w:val="0056206E"/>
    <w:rsid w:val="00562F45"/>
    <w:rsid w:val="00564D6A"/>
    <w:rsid w:val="00565987"/>
    <w:rsid w:val="00570241"/>
    <w:rsid w:val="005704D6"/>
    <w:rsid w:val="0057054A"/>
    <w:rsid w:val="00570B01"/>
    <w:rsid w:val="00572B36"/>
    <w:rsid w:val="00572D7D"/>
    <w:rsid w:val="005732DB"/>
    <w:rsid w:val="00575D40"/>
    <w:rsid w:val="0057624D"/>
    <w:rsid w:val="0057645C"/>
    <w:rsid w:val="00582B26"/>
    <w:rsid w:val="005850BA"/>
    <w:rsid w:val="00587FD9"/>
    <w:rsid w:val="00590ACC"/>
    <w:rsid w:val="005939ED"/>
    <w:rsid w:val="00593A61"/>
    <w:rsid w:val="00596786"/>
    <w:rsid w:val="005A1491"/>
    <w:rsid w:val="005A516E"/>
    <w:rsid w:val="005A7ADB"/>
    <w:rsid w:val="005B05C9"/>
    <w:rsid w:val="005B078C"/>
    <w:rsid w:val="005B0996"/>
    <w:rsid w:val="005B09EA"/>
    <w:rsid w:val="005B5164"/>
    <w:rsid w:val="005B651B"/>
    <w:rsid w:val="005B69A6"/>
    <w:rsid w:val="005C0137"/>
    <w:rsid w:val="005C0409"/>
    <w:rsid w:val="005C0ED3"/>
    <w:rsid w:val="005C2DA0"/>
    <w:rsid w:val="005C3B70"/>
    <w:rsid w:val="005C504B"/>
    <w:rsid w:val="005C58F0"/>
    <w:rsid w:val="005D28CE"/>
    <w:rsid w:val="005D2B6F"/>
    <w:rsid w:val="005D3070"/>
    <w:rsid w:val="005D39FD"/>
    <w:rsid w:val="005D3DC8"/>
    <w:rsid w:val="005D6F7C"/>
    <w:rsid w:val="005D7051"/>
    <w:rsid w:val="005E1B7A"/>
    <w:rsid w:val="005E496E"/>
    <w:rsid w:val="005E4AFE"/>
    <w:rsid w:val="005E713E"/>
    <w:rsid w:val="005E7C48"/>
    <w:rsid w:val="005F3F86"/>
    <w:rsid w:val="005F43BE"/>
    <w:rsid w:val="005F4F15"/>
    <w:rsid w:val="005F4FD3"/>
    <w:rsid w:val="005F5500"/>
    <w:rsid w:val="005F5FF1"/>
    <w:rsid w:val="006005DE"/>
    <w:rsid w:val="006017C5"/>
    <w:rsid w:val="00604580"/>
    <w:rsid w:val="006047C9"/>
    <w:rsid w:val="00604AAA"/>
    <w:rsid w:val="00605B7D"/>
    <w:rsid w:val="00607676"/>
    <w:rsid w:val="00611BD7"/>
    <w:rsid w:val="00611DCD"/>
    <w:rsid w:val="00612DB6"/>
    <w:rsid w:val="006131E1"/>
    <w:rsid w:val="00615772"/>
    <w:rsid w:val="0061586B"/>
    <w:rsid w:val="00617D8C"/>
    <w:rsid w:val="00620C2B"/>
    <w:rsid w:val="00621F8D"/>
    <w:rsid w:val="0062249C"/>
    <w:rsid w:val="00623D72"/>
    <w:rsid w:val="00625252"/>
    <w:rsid w:val="00626237"/>
    <w:rsid w:val="0063434D"/>
    <w:rsid w:val="00636384"/>
    <w:rsid w:val="00637FC4"/>
    <w:rsid w:val="006404FC"/>
    <w:rsid w:val="00643499"/>
    <w:rsid w:val="006445D4"/>
    <w:rsid w:val="00645886"/>
    <w:rsid w:val="00645B93"/>
    <w:rsid w:val="00647B2A"/>
    <w:rsid w:val="0065015D"/>
    <w:rsid w:val="00650CD3"/>
    <w:rsid w:val="00651620"/>
    <w:rsid w:val="00657DE0"/>
    <w:rsid w:val="0066167A"/>
    <w:rsid w:val="0066219E"/>
    <w:rsid w:val="006628FD"/>
    <w:rsid w:val="0066457E"/>
    <w:rsid w:val="00665A73"/>
    <w:rsid w:val="00666842"/>
    <w:rsid w:val="00667101"/>
    <w:rsid w:val="00671D41"/>
    <w:rsid w:val="0067430A"/>
    <w:rsid w:val="006751AA"/>
    <w:rsid w:val="00676B9E"/>
    <w:rsid w:val="00676D7E"/>
    <w:rsid w:val="0067746D"/>
    <w:rsid w:val="00681758"/>
    <w:rsid w:val="0068363B"/>
    <w:rsid w:val="00686A92"/>
    <w:rsid w:val="00686C2B"/>
    <w:rsid w:val="006924EC"/>
    <w:rsid w:val="00697DCD"/>
    <w:rsid w:val="006A15D3"/>
    <w:rsid w:val="006A251F"/>
    <w:rsid w:val="006A611D"/>
    <w:rsid w:val="006A68D5"/>
    <w:rsid w:val="006A7421"/>
    <w:rsid w:val="006B190B"/>
    <w:rsid w:val="006B3A9E"/>
    <w:rsid w:val="006B6173"/>
    <w:rsid w:val="006C05B4"/>
    <w:rsid w:val="006C401C"/>
    <w:rsid w:val="006C4890"/>
    <w:rsid w:val="006D08A9"/>
    <w:rsid w:val="006D0BFC"/>
    <w:rsid w:val="006D205F"/>
    <w:rsid w:val="006D41F5"/>
    <w:rsid w:val="006D49FA"/>
    <w:rsid w:val="006D4D87"/>
    <w:rsid w:val="006D52D4"/>
    <w:rsid w:val="006D6E43"/>
    <w:rsid w:val="006D7917"/>
    <w:rsid w:val="006E44D2"/>
    <w:rsid w:val="006E4B47"/>
    <w:rsid w:val="006E4E2E"/>
    <w:rsid w:val="006E6D5F"/>
    <w:rsid w:val="006F0EC1"/>
    <w:rsid w:val="006F2889"/>
    <w:rsid w:val="006F3178"/>
    <w:rsid w:val="006F3C4E"/>
    <w:rsid w:val="006F5CCB"/>
    <w:rsid w:val="006F792B"/>
    <w:rsid w:val="00700C63"/>
    <w:rsid w:val="00706792"/>
    <w:rsid w:val="00712B61"/>
    <w:rsid w:val="00714348"/>
    <w:rsid w:val="007147F5"/>
    <w:rsid w:val="00717856"/>
    <w:rsid w:val="00717FEC"/>
    <w:rsid w:val="00720D7D"/>
    <w:rsid w:val="007214EC"/>
    <w:rsid w:val="00722D34"/>
    <w:rsid w:val="0072415B"/>
    <w:rsid w:val="007246BC"/>
    <w:rsid w:val="007256AB"/>
    <w:rsid w:val="007262D6"/>
    <w:rsid w:val="00726840"/>
    <w:rsid w:val="00730B45"/>
    <w:rsid w:val="007314D9"/>
    <w:rsid w:val="00734799"/>
    <w:rsid w:val="007351E6"/>
    <w:rsid w:val="007361F8"/>
    <w:rsid w:val="00736896"/>
    <w:rsid w:val="00740EAE"/>
    <w:rsid w:val="00741A8C"/>
    <w:rsid w:val="00745F0F"/>
    <w:rsid w:val="0074783B"/>
    <w:rsid w:val="007529EE"/>
    <w:rsid w:val="00753073"/>
    <w:rsid w:val="007534E2"/>
    <w:rsid w:val="007604CB"/>
    <w:rsid w:val="00761E93"/>
    <w:rsid w:val="00763532"/>
    <w:rsid w:val="00763977"/>
    <w:rsid w:val="00764D09"/>
    <w:rsid w:val="00765018"/>
    <w:rsid w:val="00765A6C"/>
    <w:rsid w:val="00771AB6"/>
    <w:rsid w:val="0077384E"/>
    <w:rsid w:val="00775196"/>
    <w:rsid w:val="007753EA"/>
    <w:rsid w:val="00775500"/>
    <w:rsid w:val="00776026"/>
    <w:rsid w:val="00781026"/>
    <w:rsid w:val="00783095"/>
    <w:rsid w:val="007832CF"/>
    <w:rsid w:val="0078544E"/>
    <w:rsid w:val="007876A5"/>
    <w:rsid w:val="00787A21"/>
    <w:rsid w:val="007901B6"/>
    <w:rsid w:val="00791036"/>
    <w:rsid w:val="007912F1"/>
    <w:rsid w:val="00791B9A"/>
    <w:rsid w:val="00795F33"/>
    <w:rsid w:val="00795FB6"/>
    <w:rsid w:val="007961CC"/>
    <w:rsid w:val="00796F9A"/>
    <w:rsid w:val="007A070C"/>
    <w:rsid w:val="007A1CB3"/>
    <w:rsid w:val="007A3330"/>
    <w:rsid w:val="007A3BCA"/>
    <w:rsid w:val="007A3D47"/>
    <w:rsid w:val="007A41B6"/>
    <w:rsid w:val="007A74C4"/>
    <w:rsid w:val="007B1DE9"/>
    <w:rsid w:val="007B3430"/>
    <w:rsid w:val="007B3EC2"/>
    <w:rsid w:val="007B41CA"/>
    <w:rsid w:val="007B5B81"/>
    <w:rsid w:val="007B60EB"/>
    <w:rsid w:val="007C1B45"/>
    <w:rsid w:val="007C1BA9"/>
    <w:rsid w:val="007C2E8F"/>
    <w:rsid w:val="007C3983"/>
    <w:rsid w:val="007C4B03"/>
    <w:rsid w:val="007C7923"/>
    <w:rsid w:val="007D17D2"/>
    <w:rsid w:val="007D19DC"/>
    <w:rsid w:val="007D2991"/>
    <w:rsid w:val="007D312C"/>
    <w:rsid w:val="007D3841"/>
    <w:rsid w:val="007D38F5"/>
    <w:rsid w:val="007E0730"/>
    <w:rsid w:val="007E1332"/>
    <w:rsid w:val="007E45AD"/>
    <w:rsid w:val="007E48EE"/>
    <w:rsid w:val="007E6042"/>
    <w:rsid w:val="007E69F4"/>
    <w:rsid w:val="007E7258"/>
    <w:rsid w:val="007E7A59"/>
    <w:rsid w:val="007F04C9"/>
    <w:rsid w:val="007F1A3F"/>
    <w:rsid w:val="007F3E73"/>
    <w:rsid w:val="00800EA8"/>
    <w:rsid w:val="00805732"/>
    <w:rsid w:val="00806109"/>
    <w:rsid w:val="0080735E"/>
    <w:rsid w:val="008100F8"/>
    <w:rsid w:val="00811ABF"/>
    <w:rsid w:val="008121EC"/>
    <w:rsid w:val="00813A11"/>
    <w:rsid w:val="008152A8"/>
    <w:rsid w:val="0081613A"/>
    <w:rsid w:val="00822690"/>
    <w:rsid w:val="0082387A"/>
    <w:rsid w:val="00824324"/>
    <w:rsid w:val="00825729"/>
    <w:rsid w:val="00825ECA"/>
    <w:rsid w:val="008275F1"/>
    <w:rsid w:val="0083113C"/>
    <w:rsid w:val="00831966"/>
    <w:rsid w:val="00831C5B"/>
    <w:rsid w:val="008322D6"/>
    <w:rsid w:val="0083270C"/>
    <w:rsid w:val="00832B05"/>
    <w:rsid w:val="00832B6F"/>
    <w:rsid w:val="0083336E"/>
    <w:rsid w:val="00837498"/>
    <w:rsid w:val="008374D6"/>
    <w:rsid w:val="0084095E"/>
    <w:rsid w:val="00841408"/>
    <w:rsid w:val="00844CBF"/>
    <w:rsid w:val="00845AD3"/>
    <w:rsid w:val="00846D67"/>
    <w:rsid w:val="00846FC6"/>
    <w:rsid w:val="00847D2B"/>
    <w:rsid w:val="008501F5"/>
    <w:rsid w:val="00851D83"/>
    <w:rsid w:val="00852934"/>
    <w:rsid w:val="008546DF"/>
    <w:rsid w:val="0085481D"/>
    <w:rsid w:val="00854BCB"/>
    <w:rsid w:val="0085561B"/>
    <w:rsid w:val="0085729C"/>
    <w:rsid w:val="008603EB"/>
    <w:rsid w:val="00860BA8"/>
    <w:rsid w:val="00863B51"/>
    <w:rsid w:val="008672DE"/>
    <w:rsid w:val="0087045B"/>
    <w:rsid w:val="008705C8"/>
    <w:rsid w:val="008711AA"/>
    <w:rsid w:val="00872EBA"/>
    <w:rsid w:val="008736CB"/>
    <w:rsid w:val="0087501F"/>
    <w:rsid w:val="008762E8"/>
    <w:rsid w:val="00877AC4"/>
    <w:rsid w:val="00881ED4"/>
    <w:rsid w:val="008823BA"/>
    <w:rsid w:val="00884B1A"/>
    <w:rsid w:val="0088744C"/>
    <w:rsid w:val="00891876"/>
    <w:rsid w:val="00891FB0"/>
    <w:rsid w:val="00896405"/>
    <w:rsid w:val="00896EAA"/>
    <w:rsid w:val="00897493"/>
    <w:rsid w:val="008978CC"/>
    <w:rsid w:val="008A4878"/>
    <w:rsid w:val="008A5858"/>
    <w:rsid w:val="008A5A9C"/>
    <w:rsid w:val="008A5B97"/>
    <w:rsid w:val="008A788C"/>
    <w:rsid w:val="008B22FB"/>
    <w:rsid w:val="008B3888"/>
    <w:rsid w:val="008B3C66"/>
    <w:rsid w:val="008B59F3"/>
    <w:rsid w:val="008B76F5"/>
    <w:rsid w:val="008B797B"/>
    <w:rsid w:val="008C34BB"/>
    <w:rsid w:val="008C39D0"/>
    <w:rsid w:val="008C4B74"/>
    <w:rsid w:val="008C5106"/>
    <w:rsid w:val="008C51A8"/>
    <w:rsid w:val="008C531E"/>
    <w:rsid w:val="008D0508"/>
    <w:rsid w:val="008D1F20"/>
    <w:rsid w:val="008D3A5C"/>
    <w:rsid w:val="008D3B31"/>
    <w:rsid w:val="008D624E"/>
    <w:rsid w:val="008D66AF"/>
    <w:rsid w:val="008E2D39"/>
    <w:rsid w:val="008E32A7"/>
    <w:rsid w:val="008E381A"/>
    <w:rsid w:val="008E3E11"/>
    <w:rsid w:val="008E59F8"/>
    <w:rsid w:val="008F0CE5"/>
    <w:rsid w:val="008F23C7"/>
    <w:rsid w:val="008F47A0"/>
    <w:rsid w:val="008F49DB"/>
    <w:rsid w:val="008F73DC"/>
    <w:rsid w:val="008F78DE"/>
    <w:rsid w:val="0090256D"/>
    <w:rsid w:val="00903324"/>
    <w:rsid w:val="00904B09"/>
    <w:rsid w:val="00906D57"/>
    <w:rsid w:val="0090781A"/>
    <w:rsid w:val="00915A09"/>
    <w:rsid w:val="00915BCD"/>
    <w:rsid w:val="00924CF6"/>
    <w:rsid w:val="00925585"/>
    <w:rsid w:val="00931A25"/>
    <w:rsid w:val="009335B2"/>
    <w:rsid w:val="00935684"/>
    <w:rsid w:val="00935E05"/>
    <w:rsid w:val="00941153"/>
    <w:rsid w:val="00941B25"/>
    <w:rsid w:val="00946CD4"/>
    <w:rsid w:val="009478F0"/>
    <w:rsid w:val="0095024E"/>
    <w:rsid w:val="00951B9C"/>
    <w:rsid w:val="00953ACE"/>
    <w:rsid w:val="00956AFF"/>
    <w:rsid w:val="00960559"/>
    <w:rsid w:val="00965207"/>
    <w:rsid w:val="00966DCB"/>
    <w:rsid w:val="00967161"/>
    <w:rsid w:val="00967CD7"/>
    <w:rsid w:val="00967EB6"/>
    <w:rsid w:val="00970517"/>
    <w:rsid w:val="00971BE2"/>
    <w:rsid w:val="009742F0"/>
    <w:rsid w:val="009763D3"/>
    <w:rsid w:val="009774D6"/>
    <w:rsid w:val="0097771E"/>
    <w:rsid w:val="00982773"/>
    <w:rsid w:val="009871AF"/>
    <w:rsid w:val="00990CAD"/>
    <w:rsid w:val="00990D2A"/>
    <w:rsid w:val="00991CB3"/>
    <w:rsid w:val="009943B2"/>
    <w:rsid w:val="009952F4"/>
    <w:rsid w:val="00995D07"/>
    <w:rsid w:val="0099719A"/>
    <w:rsid w:val="00997393"/>
    <w:rsid w:val="00997C06"/>
    <w:rsid w:val="009A0B8B"/>
    <w:rsid w:val="009A0BF3"/>
    <w:rsid w:val="009A2256"/>
    <w:rsid w:val="009A3DA2"/>
    <w:rsid w:val="009A5537"/>
    <w:rsid w:val="009A5639"/>
    <w:rsid w:val="009A5F3C"/>
    <w:rsid w:val="009B2C7D"/>
    <w:rsid w:val="009B2E9E"/>
    <w:rsid w:val="009B373A"/>
    <w:rsid w:val="009B4FB5"/>
    <w:rsid w:val="009B651C"/>
    <w:rsid w:val="009B6629"/>
    <w:rsid w:val="009B669C"/>
    <w:rsid w:val="009C0021"/>
    <w:rsid w:val="009C0339"/>
    <w:rsid w:val="009C0F95"/>
    <w:rsid w:val="009C1606"/>
    <w:rsid w:val="009C2EAE"/>
    <w:rsid w:val="009C49B2"/>
    <w:rsid w:val="009C7A77"/>
    <w:rsid w:val="009D1C4C"/>
    <w:rsid w:val="009D6218"/>
    <w:rsid w:val="009E1D5B"/>
    <w:rsid w:val="009E31FB"/>
    <w:rsid w:val="009E3281"/>
    <w:rsid w:val="009E483A"/>
    <w:rsid w:val="009F3BF2"/>
    <w:rsid w:val="009F410D"/>
    <w:rsid w:val="009F47DD"/>
    <w:rsid w:val="009F66C7"/>
    <w:rsid w:val="009F66DA"/>
    <w:rsid w:val="009F7B4D"/>
    <w:rsid w:val="009F7F87"/>
    <w:rsid w:val="00A00092"/>
    <w:rsid w:val="00A016A0"/>
    <w:rsid w:val="00A01ED2"/>
    <w:rsid w:val="00A02CD8"/>
    <w:rsid w:val="00A02E07"/>
    <w:rsid w:val="00A02F2F"/>
    <w:rsid w:val="00A075B1"/>
    <w:rsid w:val="00A12A06"/>
    <w:rsid w:val="00A14B82"/>
    <w:rsid w:val="00A14CD0"/>
    <w:rsid w:val="00A16D95"/>
    <w:rsid w:val="00A17F9A"/>
    <w:rsid w:val="00A216EC"/>
    <w:rsid w:val="00A2483E"/>
    <w:rsid w:val="00A24E52"/>
    <w:rsid w:val="00A26983"/>
    <w:rsid w:val="00A26BBA"/>
    <w:rsid w:val="00A2790A"/>
    <w:rsid w:val="00A31234"/>
    <w:rsid w:val="00A33AF4"/>
    <w:rsid w:val="00A35979"/>
    <w:rsid w:val="00A35EB3"/>
    <w:rsid w:val="00A4063C"/>
    <w:rsid w:val="00A407FB"/>
    <w:rsid w:val="00A40859"/>
    <w:rsid w:val="00A444B1"/>
    <w:rsid w:val="00A46EF1"/>
    <w:rsid w:val="00A51524"/>
    <w:rsid w:val="00A51B6E"/>
    <w:rsid w:val="00A5341B"/>
    <w:rsid w:val="00A5425D"/>
    <w:rsid w:val="00A55B36"/>
    <w:rsid w:val="00A57EE4"/>
    <w:rsid w:val="00A607E7"/>
    <w:rsid w:val="00A60D6E"/>
    <w:rsid w:val="00A6241F"/>
    <w:rsid w:val="00A63012"/>
    <w:rsid w:val="00A633B3"/>
    <w:rsid w:val="00A66FFA"/>
    <w:rsid w:val="00A67DA8"/>
    <w:rsid w:val="00A716D7"/>
    <w:rsid w:val="00A71795"/>
    <w:rsid w:val="00A72500"/>
    <w:rsid w:val="00A7337C"/>
    <w:rsid w:val="00A74564"/>
    <w:rsid w:val="00A7512C"/>
    <w:rsid w:val="00A756B4"/>
    <w:rsid w:val="00A76515"/>
    <w:rsid w:val="00A770AC"/>
    <w:rsid w:val="00A778F4"/>
    <w:rsid w:val="00A8086B"/>
    <w:rsid w:val="00A80968"/>
    <w:rsid w:val="00A822D4"/>
    <w:rsid w:val="00A829AB"/>
    <w:rsid w:val="00A82D29"/>
    <w:rsid w:val="00A8432A"/>
    <w:rsid w:val="00A84B73"/>
    <w:rsid w:val="00A85971"/>
    <w:rsid w:val="00A859FA"/>
    <w:rsid w:val="00A86544"/>
    <w:rsid w:val="00A86D6F"/>
    <w:rsid w:val="00A90173"/>
    <w:rsid w:val="00A92B15"/>
    <w:rsid w:val="00A95F1D"/>
    <w:rsid w:val="00A96CC7"/>
    <w:rsid w:val="00A971BF"/>
    <w:rsid w:val="00AA13A9"/>
    <w:rsid w:val="00AA3783"/>
    <w:rsid w:val="00AA3ADA"/>
    <w:rsid w:val="00AA4075"/>
    <w:rsid w:val="00AA55C2"/>
    <w:rsid w:val="00AA69F9"/>
    <w:rsid w:val="00AB170F"/>
    <w:rsid w:val="00AB2399"/>
    <w:rsid w:val="00AB274A"/>
    <w:rsid w:val="00AB2C82"/>
    <w:rsid w:val="00AB4363"/>
    <w:rsid w:val="00AB508F"/>
    <w:rsid w:val="00AB6E44"/>
    <w:rsid w:val="00AC04C8"/>
    <w:rsid w:val="00AC1A5A"/>
    <w:rsid w:val="00AC49A8"/>
    <w:rsid w:val="00AC6238"/>
    <w:rsid w:val="00AD1DAD"/>
    <w:rsid w:val="00AD2F81"/>
    <w:rsid w:val="00AD32F5"/>
    <w:rsid w:val="00AD44EB"/>
    <w:rsid w:val="00AD48BF"/>
    <w:rsid w:val="00AD5BF1"/>
    <w:rsid w:val="00AD6B27"/>
    <w:rsid w:val="00AD73A4"/>
    <w:rsid w:val="00AD7A6D"/>
    <w:rsid w:val="00AE0AC1"/>
    <w:rsid w:val="00AE1D27"/>
    <w:rsid w:val="00AE33F7"/>
    <w:rsid w:val="00AE59C2"/>
    <w:rsid w:val="00AF1D92"/>
    <w:rsid w:val="00AF2B19"/>
    <w:rsid w:val="00AF4246"/>
    <w:rsid w:val="00AF4D02"/>
    <w:rsid w:val="00AF5E08"/>
    <w:rsid w:val="00B02309"/>
    <w:rsid w:val="00B02B56"/>
    <w:rsid w:val="00B0617F"/>
    <w:rsid w:val="00B06F71"/>
    <w:rsid w:val="00B10C3E"/>
    <w:rsid w:val="00B131A0"/>
    <w:rsid w:val="00B14955"/>
    <w:rsid w:val="00B15360"/>
    <w:rsid w:val="00B210F2"/>
    <w:rsid w:val="00B22AEF"/>
    <w:rsid w:val="00B23FB7"/>
    <w:rsid w:val="00B243FB"/>
    <w:rsid w:val="00B24765"/>
    <w:rsid w:val="00B24EA4"/>
    <w:rsid w:val="00B25AFA"/>
    <w:rsid w:val="00B25DAA"/>
    <w:rsid w:val="00B26585"/>
    <w:rsid w:val="00B32874"/>
    <w:rsid w:val="00B337A4"/>
    <w:rsid w:val="00B33CFA"/>
    <w:rsid w:val="00B33FA5"/>
    <w:rsid w:val="00B35623"/>
    <w:rsid w:val="00B37A7B"/>
    <w:rsid w:val="00B40C43"/>
    <w:rsid w:val="00B42950"/>
    <w:rsid w:val="00B42E92"/>
    <w:rsid w:val="00B44145"/>
    <w:rsid w:val="00B442CC"/>
    <w:rsid w:val="00B53162"/>
    <w:rsid w:val="00B53743"/>
    <w:rsid w:val="00B53C9F"/>
    <w:rsid w:val="00B53CED"/>
    <w:rsid w:val="00B54D3E"/>
    <w:rsid w:val="00B56ACB"/>
    <w:rsid w:val="00B60027"/>
    <w:rsid w:val="00B6104B"/>
    <w:rsid w:val="00B62029"/>
    <w:rsid w:val="00B63825"/>
    <w:rsid w:val="00B64939"/>
    <w:rsid w:val="00B7032C"/>
    <w:rsid w:val="00B71732"/>
    <w:rsid w:val="00B71B32"/>
    <w:rsid w:val="00B72F59"/>
    <w:rsid w:val="00B75599"/>
    <w:rsid w:val="00B811F5"/>
    <w:rsid w:val="00B81CEA"/>
    <w:rsid w:val="00B83709"/>
    <w:rsid w:val="00B86692"/>
    <w:rsid w:val="00B875C6"/>
    <w:rsid w:val="00B90C2E"/>
    <w:rsid w:val="00B91567"/>
    <w:rsid w:val="00B919EB"/>
    <w:rsid w:val="00B9382E"/>
    <w:rsid w:val="00B93E21"/>
    <w:rsid w:val="00B93FD5"/>
    <w:rsid w:val="00B95213"/>
    <w:rsid w:val="00B959D7"/>
    <w:rsid w:val="00B962CE"/>
    <w:rsid w:val="00BA0588"/>
    <w:rsid w:val="00BA0C83"/>
    <w:rsid w:val="00BA2DD6"/>
    <w:rsid w:val="00BA304F"/>
    <w:rsid w:val="00BA32A3"/>
    <w:rsid w:val="00BA4029"/>
    <w:rsid w:val="00BA5404"/>
    <w:rsid w:val="00BA72B1"/>
    <w:rsid w:val="00BA74F9"/>
    <w:rsid w:val="00BB1255"/>
    <w:rsid w:val="00BB33A9"/>
    <w:rsid w:val="00BB3C38"/>
    <w:rsid w:val="00BB3F86"/>
    <w:rsid w:val="00BB5BE6"/>
    <w:rsid w:val="00BB70FB"/>
    <w:rsid w:val="00BC0024"/>
    <w:rsid w:val="00BC2DB5"/>
    <w:rsid w:val="00BC3E1C"/>
    <w:rsid w:val="00BC4568"/>
    <w:rsid w:val="00BC4604"/>
    <w:rsid w:val="00BC53DB"/>
    <w:rsid w:val="00BC7AD0"/>
    <w:rsid w:val="00BD14E7"/>
    <w:rsid w:val="00BD4599"/>
    <w:rsid w:val="00BD5E21"/>
    <w:rsid w:val="00BE0F43"/>
    <w:rsid w:val="00BE4354"/>
    <w:rsid w:val="00BE6C08"/>
    <w:rsid w:val="00BE712C"/>
    <w:rsid w:val="00BF2339"/>
    <w:rsid w:val="00BF38D1"/>
    <w:rsid w:val="00BF4035"/>
    <w:rsid w:val="00BF42A2"/>
    <w:rsid w:val="00BF5E43"/>
    <w:rsid w:val="00C00A77"/>
    <w:rsid w:val="00C051FB"/>
    <w:rsid w:val="00C063C4"/>
    <w:rsid w:val="00C06659"/>
    <w:rsid w:val="00C072C5"/>
    <w:rsid w:val="00C10DAD"/>
    <w:rsid w:val="00C12495"/>
    <w:rsid w:val="00C13B71"/>
    <w:rsid w:val="00C15578"/>
    <w:rsid w:val="00C201C6"/>
    <w:rsid w:val="00C204B2"/>
    <w:rsid w:val="00C20E4E"/>
    <w:rsid w:val="00C21F4C"/>
    <w:rsid w:val="00C2563A"/>
    <w:rsid w:val="00C3174C"/>
    <w:rsid w:val="00C32197"/>
    <w:rsid w:val="00C35265"/>
    <w:rsid w:val="00C35D82"/>
    <w:rsid w:val="00C37246"/>
    <w:rsid w:val="00C43BF1"/>
    <w:rsid w:val="00C444FC"/>
    <w:rsid w:val="00C469E4"/>
    <w:rsid w:val="00C47BFE"/>
    <w:rsid w:val="00C506BB"/>
    <w:rsid w:val="00C50804"/>
    <w:rsid w:val="00C50A33"/>
    <w:rsid w:val="00C50F27"/>
    <w:rsid w:val="00C51917"/>
    <w:rsid w:val="00C52098"/>
    <w:rsid w:val="00C5264C"/>
    <w:rsid w:val="00C53E01"/>
    <w:rsid w:val="00C5543D"/>
    <w:rsid w:val="00C562E9"/>
    <w:rsid w:val="00C56666"/>
    <w:rsid w:val="00C56C01"/>
    <w:rsid w:val="00C6064E"/>
    <w:rsid w:val="00C60740"/>
    <w:rsid w:val="00C610F5"/>
    <w:rsid w:val="00C640CE"/>
    <w:rsid w:val="00C65EA0"/>
    <w:rsid w:val="00C70425"/>
    <w:rsid w:val="00C70C37"/>
    <w:rsid w:val="00C70E19"/>
    <w:rsid w:val="00C72316"/>
    <w:rsid w:val="00C749D6"/>
    <w:rsid w:val="00C77ACB"/>
    <w:rsid w:val="00C80151"/>
    <w:rsid w:val="00C8370F"/>
    <w:rsid w:val="00C848A2"/>
    <w:rsid w:val="00C84CCB"/>
    <w:rsid w:val="00C87C1A"/>
    <w:rsid w:val="00C91396"/>
    <w:rsid w:val="00C91E90"/>
    <w:rsid w:val="00CA368B"/>
    <w:rsid w:val="00CA3AD3"/>
    <w:rsid w:val="00CA3B83"/>
    <w:rsid w:val="00CA6BD8"/>
    <w:rsid w:val="00CB26E6"/>
    <w:rsid w:val="00CB29D2"/>
    <w:rsid w:val="00CB36F4"/>
    <w:rsid w:val="00CB40DF"/>
    <w:rsid w:val="00CB5607"/>
    <w:rsid w:val="00CB5F9D"/>
    <w:rsid w:val="00CB6D5D"/>
    <w:rsid w:val="00CB70FC"/>
    <w:rsid w:val="00CB7735"/>
    <w:rsid w:val="00CC188B"/>
    <w:rsid w:val="00CC1CA0"/>
    <w:rsid w:val="00CC38CA"/>
    <w:rsid w:val="00CC6410"/>
    <w:rsid w:val="00CD0D3F"/>
    <w:rsid w:val="00CD198E"/>
    <w:rsid w:val="00CD1DD3"/>
    <w:rsid w:val="00CD48FB"/>
    <w:rsid w:val="00CD5041"/>
    <w:rsid w:val="00CE1BB0"/>
    <w:rsid w:val="00CE2859"/>
    <w:rsid w:val="00CE37E4"/>
    <w:rsid w:val="00CE437A"/>
    <w:rsid w:val="00CE4939"/>
    <w:rsid w:val="00CE5A49"/>
    <w:rsid w:val="00CE74D4"/>
    <w:rsid w:val="00CF1902"/>
    <w:rsid w:val="00CF226E"/>
    <w:rsid w:val="00CF22D7"/>
    <w:rsid w:val="00CF30B6"/>
    <w:rsid w:val="00CF3CDD"/>
    <w:rsid w:val="00D00674"/>
    <w:rsid w:val="00D00DD9"/>
    <w:rsid w:val="00D00EF2"/>
    <w:rsid w:val="00D0356E"/>
    <w:rsid w:val="00D03FBC"/>
    <w:rsid w:val="00D05759"/>
    <w:rsid w:val="00D05EF3"/>
    <w:rsid w:val="00D11EC8"/>
    <w:rsid w:val="00D13A0C"/>
    <w:rsid w:val="00D13B03"/>
    <w:rsid w:val="00D15DFC"/>
    <w:rsid w:val="00D17C1F"/>
    <w:rsid w:val="00D207F5"/>
    <w:rsid w:val="00D22A65"/>
    <w:rsid w:val="00D25039"/>
    <w:rsid w:val="00D26C66"/>
    <w:rsid w:val="00D27920"/>
    <w:rsid w:val="00D30191"/>
    <w:rsid w:val="00D30592"/>
    <w:rsid w:val="00D3074C"/>
    <w:rsid w:val="00D35717"/>
    <w:rsid w:val="00D36470"/>
    <w:rsid w:val="00D42A8F"/>
    <w:rsid w:val="00D435B6"/>
    <w:rsid w:val="00D45CA8"/>
    <w:rsid w:val="00D46A6C"/>
    <w:rsid w:val="00D46E9B"/>
    <w:rsid w:val="00D54FF9"/>
    <w:rsid w:val="00D57114"/>
    <w:rsid w:val="00D626EA"/>
    <w:rsid w:val="00D6422E"/>
    <w:rsid w:val="00D66EED"/>
    <w:rsid w:val="00D70096"/>
    <w:rsid w:val="00D70429"/>
    <w:rsid w:val="00D70AFC"/>
    <w:rsid w:val="00D7471A"/>
    <w:rsid w:val="00D7732D"/>
    <w:rsid w:val="00D8211B"/>
    <w:rsid w:val="00D84669"/>
    <w:rsid w:val="00D84B42"/>
    <w:rsid w:val="00D8571D"/>
    <w:rsid w:val="00D85CC0"/>
    <w:rsid w:val="00D85F61"/>
    <w:rsid w:val="00D86CBD"/>
    <w:rsid w:val="00D905C3"/>
    <w:rsid w:val="00D918A6"/>
    <w:rsid w:val="00D91B65"/>
    <w:rsid w:val="00D95C23"/>
    <w:rsid w:val="00D978A7"/>
    <w:rsid w:val="00DA084F"/>
    <w:rsid w:val="00DA2B71"/>
    <w:rsid w:val="00DA2D68"/>
    <w:rsid w:val="00DA574B"/>
    <w:rsid w:val="00DA6942"/>
    <w:rsid w:val="00DA7244"/>
    <w:rsid w:val="00DB00DB"/>
    <w:rsid w:val="00DB05A9"/>
    <w:rsid w:val="00DB0BB6"/>
    <w:rsid w:val="00DB10FD"/>
    <w:rsid w:val="00DB3D40"/>
    <w:rsid w:val="00DB62A7"/>
    <w:rsid w:val="00DB7423"/>
    <w:rsid w:val="00DB78C4"/>
    <w:rsid w:val="00DC013A"/>
    <w:rsid w:val="00DC0382"/>
    <w:rsid w:val="00DC0E80"/>
    <w:rsid w:val="00DC1253"/>
    <w:rsid w:val="00DC15E2"/>
    <w:rsid w:val="00DC1CD5"/>
    <w:rsid w:val="00DC1DF7"/>
    <w:rsid w:val="00DC4728"/>
    <w:rsid w:val="00DC589D"/>
    <w:rsid w:val="00DD2111"/>
    <w:rsid w:val="00DD3E52"/>
    <w:rsid w:val="00DD4E3D"/>
    <w:rsid w:val="00DD617A"/>
    <w:rsid w:val="00DD67DF"/>
    <w:rsid w:val="00DD742F"/>
    <w:rsid w:val="00DE235B"/>
    <w:rsid w:val="00DE2CAA"/>
    <w:rsid w:val="00DE4080"/>
    <w:rsid w:val="00DE5964"/>
    <w:rsid w:val="00DE74DA"/>
    <w:rsid w:val="00DE7501"/>
    <w:rsid w:val="00DE7535"/>
    <w:rsid w:val="00DE7F2C"/>
    <w:rsid w:val="00DF21A8"/>
    <w:rsid w:val="00DF235D"/>
    <w:rsid w:val="00DF2FE3"/>
    <w:rsid w:val="00DF54EA"/>
    <w:rsid w:val="00E003AA"/>
    <w:rsid w:val="00E0382D"/>
    <w:rsid w:val="00E0641E"/>
    <w:rsid w:val="00E0702E"/>
    <w:rsid w:val="00E07069"/>
    <w:rsid w:val="00E07898"/>
    <w:rsid w:val="00E11475"/>
    <w:rsid w:val="00E16412"/>
    <w:rsid w:val="00E16620"/>
    <w:rsid w:val="00E1672E"/>
    <w:rsid w:val="00E21804"/>
    <w:rsid w:val="00E22F09"/>
    <w:rsid w:val="00E23A2B"/>
    <w:rsid w:val="00E2486F"/>
    <w:rsid w:val="00E249E8"/>
    <w:rsid w:val="00E254E5"/>
    <w:rsid w:val="00E259F8"/>
    <w:rsid w:val="00E313C9"/>
    <w:rsid w:val="00E31D02"/>
    <w:rsid w:val="00E32AF5"/>
    <w:rsid w:val="00E33504"/>
    <w:rsid w:val="00E364D7"/>
    <w:rsid w:val="00E3656C"/>
    <w:rsid w:val="00E42421"/>
    <w:rsid w:val="00E439A4"/>
    <w:rsid w:val="00E44402"/>
    <w:rsid w:val="00E4531B"/>
    <w:rsid w:val="00E46EB8"/>
    <w:rsid w:val="00E47269"/>
    <w:rsid w:val="00E4773D"/>
    <w:rsid w:val="00E47909"/>
    <w:rsid w:val="00E50F3C"/>
    <w:rsid w:val="00E527A3"/>
    <w:rsid w:val="00E53122"/>
    <w:rsid w:val="00E55ACD"/>
    <w:rsid w:val="00E564B0"/>
    <w:rsid w:val="00E5776F"/>
    <w:rsid w:val="00E622C9"/>
    <w:rsid w:val="00E631C5"/>
    <w:rsid w:val="00E63DF1"/>
    <w:rsid w:val="00E64B10"/>
    <w:rsid w:val="00E671F5"/>
    <w:rsid w:val="00E67EBC"/>
    <w:rsid w:val="00E70DB4"/>
    <w:rsid w:val="00E70F06"/>
    <w:rsid w:val="00E71DB8"/>
    <w:rsid w:val="00E72602"/>
    <w:rsid w:val="00E73633"/>
    <w:rsid w:val="00E74022"/>
    <w:rsid w:val="00E7620F"/>
    <w:rsid w:val="00E81653"/>
    <w:rsid w:val="00E828BA"/>
    <w:rsid w:val="00E832D0"/>
    <w:rsid w:val="00E86A40"/>
    <w:rsid w:val="00E86DA3"/>
    <w:rsid w:val="00E87287"/>
    <w:rsid w:val="00E929B2"/>
    <w:rsid w:val="00E929CD"/>
    <w:rsid w:val="00E9577E"/>
    <w:rsid w:val="00E95F30"/>
    <w:rsid w:val="00EA1769"/>
    <w:rsid w:val="00EA303B"/>
    <w:rsid w:val="00EA3455"/>
    <w:rsid w:val="00EA4106"/>
    <w:rsid w:val="00EA4D90"/>
    <w:rsid w:val="00EA5781"/>
    <w:rsid w:val="00EA6C84"/>
    <w:rsid w:val="00EA6CEE"/>
    <w:rsid w:val="00EB3ED5"/>
    <w:rsid w:val="00EB590B"/>
    <w:rsid w:val="00EB6C84"/>
    <w:rsid w:val="00EC0F32"/>
    <w:rsid w:val="00EC3266"/>
    <w:rsid w:val="00EC41E5"/>
    <w:rsid w:val="00EC6864"/>
    <w:rsid w:val="00ED09D8"/>
    <w:rsid w:val="00ED0B58"/>
    <w:rsid w:val="00ED1A6E"/>
    <w:rsid w:val="00ED2EAE"/>
    <w:rsid w:val="00ED6929"/>
    <w:rsid w:val="00ED6D9D"/>
    <w:rsid w:val="00ED705F"/>
    <w:rsid w:val="00EE2545"/>
    <w:rsid w:val="00EE3E1E"/>
    <w:rsid w:val="00EE4674"/>
    <w:rsid w:val="00EE6A1A"/>
    <w:rsid w:val="00EE6B42"/>
    <w:rsid w:val="00EE6CCD"/>
    <w:rsid w:val="00EE7AF7"/>
    <w:rsid w:val="00EF349D"/>
    <w:rsid w:val="00EF418B"/>
    <w:rsid w:val="00EF57B9"/>
    <w:rsid w:val="00F00D02"/>
    <w:rsid w:val="00F0123A"/>
    <w:rsid w:val="00F04B79"/>
    <w:rsid w:val="00F05F4D"/>
    <w:rsid w:val="00F05FBF"/>
    <w:rsid w:val="00F07162"/>
    <w:rsid w:val="00F10225"/>
    <w:rsid w:val="00F1115F"/>
    <w:rsid w:val="00F11421"/>
    <w:rsid w:val="00F1228B"/>
    <w:rsid w:val="00F1254C"/>
    <w:rsid w:val="00F12FBF"/>
    <w:rsid w:val="00F13DA9"/>
    <w:rsid w:val="00F13FF8"/>
    <w:rsid w:val="00F14739"/>
    <w:rsid w:val="00F14850"/>
    <w:rsid w:val="00F14FC2"/>
    <w:rsid w:val="00F16B5F"/>
    <w:rsid w:val="00F176B4"/>
    <w:rsid w:val="00F17E44"/>
    <w:rsid w:val="00F2060C"/>
    <w:rsid w:val="00F20E2A"/>
    <w:rsid w:val="00F21492"/>
    <w:rsid w:val="00F24944"/>
    <w:rsid w:val="00F302F5"/>
    <w:rsid w:val="00F31898"/>
    <w:rsid w:val="00F33B7F"/>
    <w:rsid w:val="00F3506C"/>
    <w:rsid w:val="00F35D2E"/>
    <w:rsid w:val="00F36608"/>
    <w:rsid w:val="00F415E5"/>
    <w:rsid w:val="00F425FC"/>
    <w:rsid w:val="00F43E66"/>
    <w:rsid w:val="00F479B9"/>
    <w:rsid w:val="00F47C08"/>
    <w:rsid w:val="00F511B6"/>
    <w:rsid w:val="00F51A62"/>
    <w:rsid w:val="00F54C2B"/>
    <w:rsid w:val="00F55E74"/>
    <w:rsid w:val="00F560E4"/>
    <w:rsid w:val="00F603D7"/>
    <w:rsid w:val="00F60707"/>
    <w:rsid w:val="00F635C1"/>
    <w:rsid w:val="00F643B3"/>
    <w:rsid w:val="00F661B7"/>
    <w:rsid w:val="00F675F6"/>
    <w:rsid w:val="00F67959"/>
    <w:rsid w:val="00F67D42"/>
    <w:rsid w:val="00F70B5F"/>
    <w:rsid w:val="00F71370"/>
    <w:rsid w:val="00F71910"/>
    <w:rsid w:val="00F74F9F"/>
    <w:rsid w:val="00F771D2"/>
    <w:rsid w:val="00F777D3"/>
    <w:rsid w:val="00F779B8"/>
    <w:rsid w:val="00F77DB1"/>
    <w:rsid w:val="00F83125"/>
    <w:rsid w:val="00F91FFE"/>
    <w:rsid w:val="00F93197"/>
    <w:rsid w:val="00F9488E"/>
    <w:rsid w:val="00F94A52"/>
    <w:rsid w:val="00F96ED8"/>
    <w:rsid w:val="00F9763E"/>
    <w:rsid w:val="00FA08AA"/>
    <w:rsid w:val="00FA1402"/>
    <w:rsid w:val="00FA3343"/>
    <w:rsid w:val="00FA390F"/>
    <w:rsid w:val="00FA4687"/>
    <w:rsid w:val="00FA4B27"/>
    <w:rsid w:val="00FA5A6C"/>
    <w:rsid w:val="00FA5F93"/>
    <w:rsid w:val="00FB343A"/>
    <w:rsid w:val="00FB48AF"/>
    <w:rsid w:val="00FB7741"/>
    <w:rsid w:val="00FC1261"/>
    <w:rsid w:val="00FC2E03"/>
    <w:rsid w:val="00FC54C1"/>
    <w:rsid w:val="00FC5ED8"/>
    <w:rsid w:val="00FC6BCF"/>
    <w:rsid w:val="00FC6BE7"/>
    <w:rsid w:val="00FD3B84"/>
    <w:rsid w:val="00FD4377"/>
    <w:rsid w:val="00FD4EA0"/>
    <w:rsid w:val="00FD4ECF"/>
    <w:rsid w:val="00FD56A7"/>
    <w:rsid w:val="00FD5E23"/>
    <w:rsid w:val="00FD6A7F"/>
    <w:rsid w:val="00FE01A2"/>
    <w:rsid w:val="00FE2322"/>
    <w:rsid w:val="00FE448A"/>
    <w:rsid w:val="00FE4C20"/>
    <w:rsid w:val="00FE6B52"/>
    <w:rsid w:val="00FE6D94"/>
    <w:rsid w:val="00FE7BE7"/>
    <w:rsid w:val="00FF153B"/>
    <w:rsid w:val="00FF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9362"/>
  <w15:chartTrackingRefBased/>
  <w15:docId w15:val="{07BCD5E6-8C24-4610-8694-35E94D1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27"/>
    <w:pPr>
      <w:spacing w:after="200" w:line="276" w:lineRule="auto"/>
    </w:pPr>
  </w:style>
  <w:style w:type="paragraph" w:styleId="Heading9">
    <w:name w:val="heading 9"/>
    <w:basedOn w:val="Normal"/>
    <w:next w:val="Normal"/>
    <w:link w:val="Heading9Char"/>
    <w:uiPriority w:val="99"/>
    <w:qFormat/>
    <w:rsid w:val="00B60027"/>
    <w:pPr>
      <w:keepNext/>
      <w:spacing w:after="0" w:line="240" w:lineRule="auto"/>
      <w:outlineLvl w:val="8"/>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B60027"/>
    <w:rPr>
      <w:rFonts w:ascii="Times New Roman" w:eastAsia="Times New Roman" w:hAnsi="Times New Roman" w:cs="Times New Roman"/>
      <w:b/>
      <w:bCs/>
      <w:i/>
      <w:iCs/>
      <w:sz w:val="20"/>
      <w:szCs w:val="20"/>
    </w:rPr>
  </w:style>
  <w:style w:type="paragraph" w:styleId="BodyText">
    <w:name w:val="Body Text"/>
    <w:basedOn w:val="Normal"/>
    <w:link w:val="BodyTextChar"/>
    <w:uiPriority w:val="99"/>
    <w:rsid w:val="00B60027"/>
    <w:pPr>
      <w:tabs>
        <w:tab w:val="left" w:pos="227"/>
      </w:tabs>
      <w:suppressAutoHyphens/>
      <w:autoSpaceDE w:val="0"/>
      <w:autoSpaceDN w:val="0"/>
      <w:adjustRightInd w:val="0"/>
      <w:spacing w:before="40" w:after="40" w:line="200" w:lineRule="atLeast"/>
      <w:textAlignment w:val="center"/>
    </w:pPr>
    <w:rPr>
      <w:rFonts w:ascii="Arial" w:hAnsi="Arial" w:cs="Arial"/>
      <w:color w:val="000000"/>
      <w:sz w:val="18"/>
      <w:szCs w:val="18"/>
    </w:rPr>
  </w:style>
  <w:style w:type="character" w:customStyle="1" w:styleId="BodyTextChar">
    <w:name w:val="Body Text Char"/>
    <w:basedOn w:val="DefaultParagraphFont"/>
    <w:link w:val="BodyText"/>
    <w:uiPriority w:val="99"/>
    <w:rsid w:val="00B60027"/>
    <w:rPr>
      <w:rFonts w:ascii="Arial" w:hAnsi="Arial" w:cs="Arial"/>
      <w:color w:val="000000"/>
      <w:sz w:val="18"/>
      <w:szCs w:val="18"/>
    </w:rPr>
  </w:style>
  <w:style w:type="paragraph" w:styleId="NormalWeb">
    <w:name w:val="Normal (Web)"/>
    <w:basedOn w:val="Normal"/>
    <w:uiPriority w:val="99"/>
    <w:rsid w:val="00B600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x">
    <w:name w:val="bx"/>
    <w:basedOn w:val="Normal"/>
    <w:rsid w:val="00B6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B60027"/>
  </w:style>
  <w:style w:type="character" w:customStyle="1" w:styleId="bz">
    <w:name w:val="bz"/>
    <w:basedOn w:val="DefaultParagraphFont"/>
    <w:rsid w:val="00B60027"/>
  </w:style>
  <w:style w:type="character" w:styleId="Hyperlink">
    <w:name w:val="Hyperlink"/>
    <w:basedOn w:val="DefaultParagraphFont"/>
    <w:uiPriority w:val="99"/>
    <w:semiHidden/>
    <w:unhideWhenUsed/>
    <w:rsid w:val="00B60027"/>
    <w:rPr>
      <w:color w:val="0000FF"/>
      <w:u w:val="single"/>
    </w:rPr>
  </w:style>
  <w:style w:type="character" w:customStyle="1" w:styleId="cb">
    <w:name w:val="cb"/>
    <w:basedOn w:val="DefaultParagraphFont"/>
    <w:rsid w:val="00B60027"/>
  </w:style>
  <w:style w:type="character" w:customStyle="1" w:styleId="cd">
    <w:name w:val="cd"/>
    <w:basedOn w:val="DefaultParagraphFont"/>
    <w:rsid w:val="00B60027"/>
  </w:style>
  <w:style w:type="table" w:styleId="TableGrid">
    <w:name w:val="Table Grid"/>
    <w:basedOn w:val="TableNormal"/>
    <w:uiPriority w:val="59"/>
    <w:rsid w:val="00B600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027"/>
    <w:pPr>
      <w:ind w:left="720"/>
      <w:contextualSpacing/>
    </w:pPr>
  </w:style>
  <w:style w:type="paragraph" w:customStyle="1" w:styleId="Subhead1">
    <w:name w:val="Subhead 1"/>
    <w:basedOn w:val="Normal"/>
    <w:uiPriority w:val="99"/>
    <w:rsid w:val="00F415E5"/>
    <w:pPr>
      <w:keepNext/>
      <w:suppressAutoHyphens/>
      <w:autoSpaceDE w:val="0"/>
      <w:autoSpaceDN w:val="0"/>
      <w:adjustRightInd w:val="0"/>
      <w:spacing w:before="40" w:after="40" w:line="200" w:lineRule="atLeast"/>
      <w:textAlignment w:val="center"/>
    </w:pPr>
    <w:rPr>
      <w:rFonts w:ascii="Arial" w:hAnsi="Arial" w:cs="Arial"/>
      <w:b/>
      <w:bCs/>
      <w:color w:val="000000"/>
      <w:sz w:val="18"/>
      <w:szCs w:val="18"/>
    </w:rPr>
  </w:style>
  <w:style w:type="paragraph" w:customStyle="1" w:styleId="Figs">
    <w:name w:val="Figs"/>
    <w:basedOn w:val="Normal"/>
    <w:uiPriority w:val="99"/>
    <w:rsid w:val="00F415E5"/>
    <w:pPr>
      <w:tabs>
        <w:tab w:val="left" w:pos="227"/>
      </w:tabs>
      <w:suppressAutoHyphens/>
      <w:autoSpaceDE w:val="0"/>
      <w:autoSpaceDN w:val="0"/>
      <w:adjustRightInd w:val="0"/>
      <w:spacing w:after="0" w:line="200" w:lineRule="atLeast"/>
      <w:textAlignment w:val="center"/>
    </w:pPr>
    <w:rPr>
      <w:rFonts w:ascii="Arial" w:hAnsi="Arial" w:cs="Arial"/>
      <w:color w:val="000000"/>
      <w:sz w:val="18"/>
      <w:szCs w:val="18"/>
    </w:rPr>
  </w:style>
  <w:style w:type="paragraph" w:customStyle="1" w:styleId="Fighd">
    <w:name w:val="Fighd"/>
    <w:basedOn w:val="Normal"/>
    <w:uiPriority w:val="99"/>
    <w:rsid w:val="00F415E5"/>
    <w:pPr>
      <w:tabs>
        <w:tab w:val="left" w:pos="227"/>
      </w:tabs>
      <w:suppressAutoHyphens/>
      <w:autoSpaceDE w:val="0"/>
      <w:autoSpaceDN w:val="0"/>
      <w:adjustRightInd w:val="0"/>
      <w:spacing w:after="0" w:line="160" w:lineRule="atLeast"/>
      <w:textAlignment w:val="center"/>
    </w:pPr>
    <w:rPr>
      <w:rFonts w:ascii="Arial" w:hAnsi="Arial" w:cs="Arial"/>
      <w:color w:val="000000"/>
      <w:sz w:val="14"/>
      <w:szCs w:val="14"/>
    </w:rPr>
  </w:style>
  <w:style w:type="character" w:customStyle="1" w:styleId="FigsTextFigsFigshdbold">
    <w:name w:val="Figs Text/Figs/Figshd bold"/>
    <w:uiPriority w:val="99"/>
    <w:rsid w:val="00F415E5"/>
    <w:rPr>
      <w:rFonts w:ascii="Arial" w:hAnsi="Arial" w:cs="Arial"/>
      <w:b/>
      <w:bCs/>
      <w:color w:val="000000"/>
    </w:rPr>
  </w:style>
  <w:style w:type="paragraph" w:customStyle="1" w:styleId="PageHeader">
    <w:name w:val="Page Header"/>
    <w:basedOn w:val="Normal"/>
    <w:uiPriority w:val="99"/>
    <w:rsid w:val="00F415E5"/>
    <w:pPr>
      <w:suppressAutoHyphens/>
      <w:autoSpaceDE w:val="0"/>
      <w:autoSpaceDN w:val="0"/>
      <w:adjustRightInd w:val="0"/>
      <w:spacing w:after="0" w:line="360" w:lineRule="atLeast"/>
      <w:textAlignment w:val="center"/>
    </w:pPr>
    <w:rPr>
      <w:rFonts w:ascii="Arial" w:hAnsi="Arial" w:cs="Arial"/>
      <w:color w:val="000000"/>
      <w:sz w:val="32"/>
      <w:szCs w:val="32"/>
    </w:rPr>
  </w:style>
  <w:style w:type="paragraph" w:styleId="Footer">
    <w:name w:val="footer"/>
    <w:basedOn w:val="Normal"/>
    <w:link w:val="FooterChar"/>
    <w:uiPriority w:val="99"/>
    <w:unhideWhenUsed/>
    <w:rsid w:val="00F4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E5"/>
  </w:style>
  <w:style w:type="paragraph" w:customStyle="1" w:styleId="Tindent">
    <w:name w:val="Tindent"/>
    <w:basedOn w:val="Normal"/>
    <w:rsid w:val="00F415E5"/>
    <w:pPr>
      <w:tabs>
        <w:tab w:val="left" w:pos="851"/>
      </w:tabs>
      <w:spacing w:after="0" w:line="240" w:lineRule="auto"/>
      <w:ind w:left="709" w:hanging="142"/>
    </w:pPr>
    <w:rPr>
      <w:rFonts w:ascii="Times New Roman" w:eastAsia="Times New Roman" w:hAnsi="Times New Roman" w:cs="Times New Roman"/>
      <w:sz w:val="20"/>
      <w:szCs w:val="20"/>
      <w:lang w:eastAsia="en-GB"/>
    </w:rPr>
  </w:style>
  <w:style w:type="paragraph" w:customStyle="1" w:styleId="br">
    <w:name w:val="br"/>
    <w:basedOn w:val="Normal"/>
    <w:rsid w:val="00C12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C12495"/>
  </w:style>
  <w:style w:type="character" w:customStyle="1" w:styleId="am">
    <w:name w:val="am"/>
    <w:basedOn w:val="DefaultParagraphFont"/>
    <w:rsid w:val="00C12495"/>
  </w:style>
  <w:style w:type="character" w:customStyle="1" w:styleId="bj">
    <w:name w:val="bj"/>
    <w:basedOn w:val="DefaultParagraphFont"/>
    <w:rsid w:val="00C12495"/>
  </w:style>
  <w:style w:type="character" w:customStyle="1" w:styleId="al">
    <w:name w:val="al"/>
    <w:basedOn w:val="DefaultParagraphFont"/>
    <w:rsid w:val="00C12495"/>
  </w:style>
  <w:style w:type="paragraph" w:styleId="Header">
    <w:name w:val="header"/>
    <w:basedOn w:val="Normal"/>
    <w:link w:val="HeaderChar"/>
    <w:uiPriority w:val="99"/>
    <w:unhideWhenUsed/>
    <w:rsid w:val="0000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Sarah Atwell-King</cp:lastModifiedBy>
  <cp:revision>7</cp:revision>
  <dcterms:created xsi:type="dcterms:W3CDTF">2019-06-12T10:00:00Z</dcterms:created>
  <dcterms:modified xsi:type="dcterms:W3CDTF">2019-06-12T10:07:00Z</dcterms:modified>
</cp:coreProperties>
</file>